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8F3DE">
      <w:pPr>
        <w:spacing w:beforeLines="0" w:afterLines="0" w:line="560" w:lineRule="exact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</w:t>
      </w:r>
    </w:p>
    <w:p w14:paraId="33F01541">
      <w:pPr>
        <w:widowControl/>
        <w:spacing w:beforeLines="0" w:afterLines="0" w:line="560" w:lineRule="exact"/>
        <w:jc w:val="center"/>
        <w:rPr>
          <w:rFonts w:hint="eastAsia" w:ascii="Times New Roman" w:hAnsi="Times New Roman" w:eastAsia="黑体" w:cs="黑体"/>
          <w:b/>
          <w:snapToGrid w:val="0"/>
          <w:color w:val="auto"/>
          <w:sz w:val="44"/>
          <w:szCs w:val="44"/>
          <w:highlight w:val="none"/>
        </w:rPr>
      </w:pPr>
      <w:bookmarkStart w:id="0" w:name="OLE_LINK3"/>
    </w:p>
    <w:p w14:paraId="2BD893F0">
      <w:pPr>
        <w:widowControl/>
        <w:spacing w:beforeLines="0" w:afterLines="0" w:line="560" w:lineRule="exact"/>
        <w:jc w:val="center"/>
        <w:rPr>
          <w:rFonts w:hint="eastAsia" w:ascii="Times New Roman" w:hAnsi="Times New Roman" w:eastAsia="方正小标宋简体" w:cs="方正小标宋简体"/>
          <w:b w:val="0"/>
          <w:bCs/>
          <w:snapToGrid w:val="0"/>
          <w:color w:val="auto"/>
          <w:sz w:val="44"/>
          <w:szCs w:val="44"/>
          <w:highlight w:val="none"/>
        </w:rPr>
      </w:pPr>
      <w:bookmarkStart w:id="1" w:name="_GoBack"/>
      <w:r>
        <w:rPr>
          <w:rFonts w:hint="eastAsia" w:ascii="Times New Roman" w:hAnsi="Times New Roman" w:eastAsia="方正小标宋简体" w:cs="方正小标宋简体"/>
          <w:b w:val="0"/>
          <w:bCs/>
          <w:snapToGrid w:val="0"/>
          <w:color w:val="auto"/>
          <w:sz w:val="44"/>
          <w:szCs w:val="44"/>
          <w:highlight w:val="none"/>
        </w:rPr>
        <w:t>天津市参与跨省跨区电力应急调度实施细则</w:t>
      </w:r>
      <w:bookmarkEnd w:id="0"/>
    </w:p>
    <w:bookmarkEnd w:id="1"/>
    <w:p w14:paraId="47DFE644">
      <w:pPr>
        <w:widowControl/>
        <w:spacing w:beforeLines="0" w:afterLines="0" w:line="560" w:lineRule="exact"/>
        <w:jc w:val="center"/>
        <w:rPr>
          <w:rFonts w:hint="eastAsia" w:ascii="Times New Roman" w:hAnsi="Times New Roman" w:eastAsia="方正小标宋简体" w:cs="宋体"/>
          <w:bCs/>
          <w:snapToGrid w:val="0"/>
          <w:color w:val="auto"/>
          <w:sz w:val="44"/>
          <w:szCs w:val="44"/>
          <w:highlight w:val="none"/>
        </w:rPr>
      </w:pPr>
    </w:p>
    <w:p w14:paraId="2B70ACE8">
      <w:pPr>
        <w:widowControl/>
        <w:numPr>
          <w:ilvl w:val="0"/>
          <w:numId w:val="1"/>
        </w:numPr>
        <w:snapToGrid w:val="0"/>
        <w:spacing w:before="0" w:beforeLines="0" w:after="0" w:afterLines="0" w:line="560" w:lineRule="exact"/>
        <w:jc w:val="center"/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</w:rPr>
      </w:pPr>
      <w:r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</w:rPr>
        <w:t>总  则</w:t>
      </w:r>
    </w:p>
    <w:p w14:paraId="26B6266E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-2" w:firstLine="632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为规范参与跨省跨区电力应急调度，根据《跨省跨区电力应急调度管理办法》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（发改运行规〔2025〕1193号）</w:t>
      </w:r>
      <w:r>
        <w:rPr>
          <w:rFonts w:hint="eastAsia" w:eastAsia="仿宋_GB2312" w:cs="仿宋_GB2312"/>
          <w:sz w:val="32"/>
          <w:szCs w:val="32"/>
          <w:lang w:val="en-US" w:eastAsia="zh-CN"/>
        </w:rPr>
        <w:t>（以下简称《办法》）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《国家电网有限公司跨省跨区电力应急调度实施细则》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国家电网调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〔2026〕121号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）、《跨省跨区电力应急调度管理办法华北区域实施细则》</w:t>
      </w:r>
      <w:r>
        <w:rPr>
          <w:rFonts w:hint="eastAsia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华北监能市场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2026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44号</w:t>
      </w:r>
      <w:r>
        <w:rPr>
          <w:rFonts w:hint="eastAsia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）、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《京津冀电网参与跨省跨区电力应急调度实施细则》（华北监能市场〔2026〕46号）、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32"/>
          <w:highlight w:val="none"/>
        </w:rPr>
        <w:t>《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京津唐电网电力平衡不足情况下参与省间现货、应急调度实施细则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32"/>
          <w:highlight w:val="none"/>
        </w:rPr>
        <w:t>》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（华北监能市场〔2024〕235号）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相关规定，制定本细则。</w:t>
      </w:r>
    </w:p>
    <w:p w14:paraId="516D7D8F">
      <w:pPr>
        <w:numPr>
          <w:ilvl w:val="0"/>
          <w:numId w:val="2"/>
        </w:numPr>
        <w:tabs>
          <w:tab w:val="left" w:pos="680"/>
          <w:tab w:val="left" w:pos="1260"/>
          <w:tab w:val="clear" w:pos="567"/>
        </w:tabs>
        <w:spacing w:beforeLines="0" w:afterLines="0" w:line="560" w:lineRule="exact"/>
        <w:ind w:left="-115" w:firstLine="680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本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细则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所称跨省跨区电力应急调度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以下简称应急调度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，是指在非突发故障异常等紧急情况下，电力运行中出现保安全、保供应需求，在日前、日内阶段统筹全网资源进行优化互济的兜底调度措施。</w:t>
      </w:r>
    </w:p>
    <w:p w14:paraId="535084FD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-2" w:firstLine="632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跨区应急调度由国家电力调度控制中心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以下简称“国调中心”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组织开展，华北区域内应急调度由国网华北分部调度控制中心（以下简称“华北网调”）组织开展。天津电网在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华北网调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的组织下，参与京津唐电网统一控制区应急调度。</w:t>
      </w:r>
    </w:p>
    <w:p w14:paraId="51D32F5D">
      <w:pPr>
        <w:numPr>
          <w:ilvl w:val="-1"/>
          <w:numId w:val="0"/>
        </w:numPr>
        <w:tabs>
          <w:tab w:val="left" w:pos="680"/>
          <w:tab w:val="left" w:pos="1260"/>
        </w:tabs>
        <w:spacing w:beforeLines="0" w:afterLines="0" w:line="560" w:lineRule="exact"/>
        <w:ind w:left="630" w:firstLine="0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</w:p>
    <w:p w14:paraId="3B3409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left="1395" w:hanging="1395"/>
        <w:jc w:val="center"/>
        <w:textAlignment w:val="auto"/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</w:rPr>
      </w:pPr>
      <w:r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</w:rPr>
        <w:t>职责分工</w:t>
      </w:r>
    </w:p>
    <w:p w14:paraId="69E77BF9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0" w:firstLine="632"/>
        <w:rPr>
          <w:rFonts w:hint="eastAsia" w:ascii="Times New Roman" w:hAnsi="Times New Roman" w:eastAsia="仿宋_GB2312" w:cs="仿宋_GB2312"/>
          <w:color w:val="auto"/>
          <w:kern w:val="0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电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力调度机构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22"/>
          <w:highlight w:val="none"/>
        </w:rPr>
        <w:t>负责</w:t>
      </w:r>
      <w:r>
        <w:rPr>
          <w:rFonts w:hint="eastAsia" w:ascii="Times New Roman" w:hAnsi="Times New Roman" w:eastAsia="仿宋_GB2312" w:cs="仿宋_GB2312"/>
          <w:color w:val="auto"/>
          <w:spacing w:val="-4"/>
          <w:kern w:val="2"/>
          <w:sz w:val="32"/>
          <w:szCs w:val="22"/>
          <w:highlight w:val="none"/>
        </w:rPr>
        <w:t>按本</w:t>
      </w:r>
      <w:r>
        <w:rPr>
          <w:rFonts w:hint="eastAsia" w:eastAsia="仿宋_GB2312" w:cs="仿宋_GB2312"/>
          <w:color w:val="auto"/>
          <w:spacing w:val="-4"/>
          <w:kern w:val="2"/>
          <w:sz w:val="32"/>
          <w:szCs w:val="22"/>
          <w:highlight w:val="none"/>
          <w:lang w:val="en-US" w:eastAsia="zh-CN"/>
        </w:rPr>
        <w:t>细则</w:t>
      </w:r>
      <w:r>
        <w:rPr>
          <w:rFonts w:hint="eastAsia" w:ascii="Times New Roman" w:hAnsi="Times New Roman" w:eastAsia="仿宋_GB2312" w:cs="仿宋_GB2312"/>
          <w:color w:val="auto"/>
          <w:spacing w:val="-4"/>
          <w:kern w:val="2"/>
          <w:sz w:val="32"/>
          <w:szCs w:val="22"/>
          <w:highlight w:val="none"/>
        </w:rPr>
        <w:t>规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22"/>
          <w:highlight w:val="none"/>
        </w:rPr>
        <w:t>定的实施流程参与应急调度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2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加强工作合规性管理，确保应急调度的公平性和公正性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eastAsia="zh-CN"/>
        </w:rPr>
        <w:t>；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做好应急调度与其他电力生产业务的衔接，并会同电力交易机构做好信息披露工作。</w:t>
      </w:r>
    </w:p>
    <w:p w14:paraId="127F88EC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0" w:firstLine="616"/>
        <w:rPr>
          <w:rFonts w:hint="eastAsia" w:ascii="Times New Roman" w:hAnsi="Times New Roman" w:eastAsia="仿宋_GB2312" w:cs="仿宋_GB2312"/>
          <w:color w:val="auto"/>
          <w:kern w:val="0"/>
          <w:sz w:val="32"/>
          <w:szCs w:val="20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电力交易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机构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负责提供应急调度结算依据，并参照电力交易信息披露相关工作要求做好应急调度信息披露。</w:t>
      </w:r>
    </w:p>
    <w:p w14:paraId="7E302870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0" w:firstLine="616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电网企业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要为应急调度提供输电、相关系统运行费用计算、电费结算等服务。</w:t>
      </w:r>
    </w:p>
    <w:p w14:paraId="42B1B274">
      <w:pPr>
        <w:pStyle w:val="5"/>
        <w:spacing w:beforeLines="0" w:afterLines="0" w:line="560" w:lineRule="exact"/>
        <w:rPr>
          <w:rFonts w:hint="eastAsia" w:ascii="Times New Roman" w:hAnsi="Times New Roman"/>
        </w:rPr>
      </w:pPr>
    </w:p>
    <w:p w14:paraId="5C3BECD1">
      <w:pPr>
        <w:widowControl/>
        <w:numPr>
          <w:ilvl w:val="0"/>
          <w:numId w:val="1"/>
        </w:numPr>
        <w:snapToGrid w:val="0"/>
        <w:spacing w:before="0" w:beforeLines="0" w:after="0" w:afterLines="0" w:line="560" w:lineRule="exact"/>
        <w:jc w:val="center"/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</w:rPr>
      </w:pPr>
      <w:r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  <w:lang w:val="en-US" w:eastAsia="zh-CN"/>
        </w:rPr>
        <w:t>组织实施</w:t>
      </w:r>
    </w:p>
    <w:p w14:paraId="3CC540AF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-2" w:firstLine="616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电网企业、发电企业、电力交易机构等按职责和相关规定开展负荷预测、新能源出力预测，统筹考虑电网结构、各类电源受阻情况等因素，按规定留取合理备用，完成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市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场化交易组织和相关电力生产计划编制，原则上以此作为应急调度开展的边界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eastAsia="zh-CN"/>
        </w:rPr>
        <w:t>。</w:t>
      </w:r>
    </w:p>
    <w:p w14:paraId="428F1935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-2" w:firstLine="616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在保安全场景下，以安全裕度低于规定值作为启动的必要条件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在保供应场景下，以平衡裕度低于零作为启动的必要条件。同时存在保安全、保供应需求时，按照保安全优先原则组织实施应急调度。</w:t>
      </w:r>
    </w:p>
    <w:p w14:paraId="31C0AB36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-2" w:firstLine="616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电力调度机构应对电网出现突发故障异常等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紧急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情况时实施的跨省跨区电力电量调整，不属于应急调度范畴。</w:t>
      </w:r>
    </w:p>
    <w:p w14:paraId="475DC07C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-2" w:firstLine="616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对于保供应场景下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申请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的应急调度，按照本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章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规定执行。对于保安全场景下应急调度以及其他依据《办法》启动的应急调度，其实施流程根据实际情况确定。</w:t>
      </w:r>
    </w:p>
    <w:p w14:paraId="0FE1AECF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-2" w:firstLine="616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日前应急调度按以下流程实施。</w:t>
      </w:r>
    </w:p>
    <w:p w14:paraId="7F8ADC4C">
      <w:pPr>
        <w:numPr>
          <w:ilvl w:val="0"/>
          <w:numId w:val="3"/>
        </w:numPr>
        <w:tabs>
          <w:tab w:val="left" w:pos="680"/>
          <w:tab w:val="left" w:pos="1260"/>
        </w:tabs>
        <w:spacing w:beforeLines="0" w:afterLines="0" w:line="560" w:lineRule="exact"/>
        <w:ind w:firstLine="420" w:firstLineChars="0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京津唐电网存在日前应急调度需求时，华北网调通知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国网天津市电力公司调控中心（以下简称“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天津市调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”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，并会同北京、天津、冀北电力调度机构发起日前应急调度申请。</w:t>
      </w:r>
    </w:p>
    <w:p w14:paraId="4CEB5176">
      <w:pPr>
        <w:numPr>
          <w:ilvl w:val="0"/>
          <w:numId w:val="3"/>
        </w:numPr>
        <w:tabs>
          <w:tab w:val="left" w:pos="680"/>
          <w:tab w:val="left" w:pos="1260"/>
        </w:tabs>
        <w:spacing w:beforeLines="0" w:afterLines="0" w:line="560" w:lineRule="exact"/>
        <w:ind w:firstLine="420" w:firstLineChars="0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天津市调将日前应急调度申请情况汇报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eastAsia="zh-CN"/>
        </w:rPr>
        <w:t>市工业和信息化局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。</w:t>
      </w:r>
    </w:p>
    <w:p w14:paraId="0227B2B3">
      <w:pPr>
        <w:numPr>
          <w:ilvl w:val="0"/>
          <w:numId w:val="3"/>
        </w:numPr>
        <w:tabs>
          <w:tab w:val="left" w:pos="680"/>
          <w:tab w:val="left" w:pos="1260"/>
        </w:tabs>
        <w:spacing w:beforeLines="0" w:afterLines="0" w:line="560" w:lineRule="exact"/>
        <w:ind w:firstLine="420" w:firstLineChars="0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华北网调通知天津市调应急调度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执行情况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，并向天津分配应急调度购入电量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。</w:t>
      </w:r>
    </w:p>
    <w:p w14:paraId="68B384D4">
      <w:pPr>
        <w:numPr>
          <w:ilvl w:val="0"/>
          <w:numId w:val="3"/>
        </w:numPr>
        <w:tabs>
          <w:tab w:val="left" w:pos="680"/>
          <w:tab w:val="left" w:pos="1260"/>
        </w:tabs>
        <w:spacing w:beforeLines="0" w:afterLines="0" w:line="560" w:lineRule="exact"/>
        <w:ind w:firstLine="420" w:firstLineChars="0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天津市调将应急调度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执行情况等信息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汇报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eastAsia="zh-CN"/>
        </w:rPr>
        <w:t>市工业和信息化局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。</w:t>
      </w:r>
    </w:p>
    <w:p w14:paraId="4FA2BFCB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-2" w:firstLine="616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日内应急调度按以下流程实施。</w:t>
      </w:r>
    </w:p>
    <w:p w14:paraId="14737EE9">
      <w:pPr>
        <w:numPr>
          <w:ilvl w:val="0"/>
          <w:numId w:val="4"/>
        </w:numPr>
        <w:tabs>
          <w:tab w:val="left" w:pos="680"/>
          <w:tab w:val="left" w:pos="1260"/>
        </w:tabs>
        <w:spacing w:beforeLines="0" w:afterLines="0" w:line="560" w:lineRule="exact"/>
        <w:ind w:firstLine="420" w:firstLineChars="0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京津唐电网存在日内应急调度需求时，华北网调通知天津市调，并会同北京、天津、冀北电力调度机构发起日内应急调度申请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eastAsia="zh-CN"/>
        </w:rPr>
        <w:t>。</w:t>
      </w:r>
    </w:p>
    <w:p w14:paraId="30E4EBB4">
      <w:pPr>
        <w:numPr>
          <w:ilvl w:val="0"/>
          <w:numId w:val="4"/>
        </w:numPr>
        <w:tabs>
          <w:tab w:val="left" w:pos="680"/>
          <w:tab w:val="left" w:pos="1260"/>
        </w:tabs>
        <w:spacing w:beforeLines="0" w:afterLines="0" w:line="560" w:lineRule="exact"/>
        <w:ind w:firstLine="420" w:firstLineChars="0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考虑日内执行时限较短，待华北网调通知天津市调应急调度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执行情况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及分配电量后，天津市调汇总日内应急调度申请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情况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val="en-US" w:eastAsia="zh-CN"/>
        </w:rPr>
        <w:t>执行情况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等信息汇报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  <w:lang w:eastAsia="zh-CN"/>
        </w:rPr>
        <w:t>市工业和信息化局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。</w:t>
      </w:r>
    </w:p>
    <w:p w14:paraId="0B654551">
      <w:pPr>
        <w:pStyle w:val="5"/>
        <w:spacing w:beforeLines="0" w:afterLines="0" w:line="560" w:lineRule="exact"/>
        <w:rPr>
          <w:rFonts w:hint="eastAsia" w:ascii="Times New Roman" w:hAnsi="Times New Roman"/>
        </w:rPr>
      </w:pPr>
    </w:p>
    <w:p w14:paraId="39D343DD">
      <w:pPr>
        <w:widowControl/>
        <w:numPr>
          <w:ilvl w:val="0"/>
          <w:numId w:val="1"/>
        </w:numPr>
        <w:snapToGrid w:val="0"/>
        <w:spacing w:before="0" w:beforeLines="0" w:after="0" w:afterLines="0" w:line="560" w:lineRule="exact"/>
        <w:jc w:val="center"/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</w:rPr>
      </w:pPr>
      <w:r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</w:rPr>
        <w:t>价格与结算</w:t>
      </w:r>
    </w:p>
    <w:p w14:paraId="0DF05DC7">
      <w:pPr>
        <w:widowControl w:val="0"/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left="0" w:firstLine="632"/>
        <w:rPr>
          <w:rFonts w:hint="eastAsia" w:ascii="Times New Roman" w:hAnsi="Times New Roman" w:eastAsia="仿宋_GB2312" w:cs="仿宋_GB2312"/>
          <w:b w:val="0"/>
          <w:bCs w:val="0"/>
          <w:color w:val="auto"/>
          <w:spacing w:val="-6"/>
          <w:kern w:val="2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  <w:lang w:val="en-US" w:eastAsia="zh-CN"/>
        </w:rPr>
        <w:t>天津电网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</w:rPr>
        <w:t>参与应急调度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  <w:lang w:val="en-US" w:eastAsia="zh-CN"/>
        </w:rPr>
        <w:t>相关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</w:rPr>
        <w:t>结算价格参照《办法</w:t>
      </w:r>
      <w:r>
        <w:rPr>
          <w:rFonts w:hint="eastAsia" w:eastAsia="仿宋_GB2312" w:cs="仿宋_GB2312"/>
          <w:color w:val="auto"/>
          <w:spacing w:val="-6"/>
          <w:sz w:val="32"/>
          <w:szCs w:val="22"/>
          <w:highlight w:val="none"/>
          <w:lang w:eastAsia="zh-CN"/>
        </w:rPr>
        <w:t>》</w:t>
      </w:r>
      <w:r>
        <w:rPr>
          <w:rFonts w:hint="eastAsia" w:eastAsia="仿宋_GB2312" w:cs="仿宋_GB2312"/>
          <w:color w:val="auto"/>
          <w:spacing w:val="-6"/>
          <w:sz w:val="32"/>
          <w:szCs w:val="2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</w:rPr>
        <w:t>《跨省跨区电力应急调度管理办法华北区域实施细则》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22"/>
          <w:highlight w:val="none"/>
          <w:lang w:eastAsia="zh-CN"/>
        </w:rPr>
        <w:t>《京津冀电网参与跨省跨区电力应急调度实施细则》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22"/>
          <w:highlight w:val="none"/>
        </w:rPr>
        <w:t>等文件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</w:rPr>
        <w:t>执行。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  <w:lang w:val="en-US" w:eastAsia="zh-CN"/>
        </w:rPr>
        <w:t>相关费用纳入天津市系统运行费中“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</w:rPr>
        <w:t>跨省跨区应急调度价差损益折合度电水平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  <w:lang w:val="en-US" w:eastAsia="zh-CN"/>
        </w:rPr>
        <w:t>”科目，由全体工商业用户分摊或分享</w:t>
      </w:r>
      <w:r>
        <w:rPr>
          <w:rFonts w:hint="eastAsia" w:ascii="Times New Roman" w:hAnsi="Times New Roman" w:eastAsia="仿宋_GB2312" w:cs="仿宋_GB2312"/>
          <w:color w:val="auto"/>
          <w:spacing w:val="-6"/>
          <w:sz w:val="32"/>
          <w:szCs w:val="22"/>
          <w:highlight w:val="none"/>
        </w:rPr>
        <w:t>。</w:t>
      </w:r>
    </w:p>
    <w:p w14:paraId="07A21599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680"/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32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color w:val="auto"/>
          <w:spacing w:val="-6"/>
          <w:kern w:val="2"/>
          <w:sz w:val="32"/>
          <w:szCs w:val="22"/>
          <w:highlight w:val="none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pacing w:val="-6"/>
          <w:kern w:val="2"/>
          <w:sz w:val="32"/>
          <w:szCs w:val="22"/>
          <w:highlight w:val="none"/>
          <w:lang w:eastAsia="zh-CN"/>
        </w:rPr>
        <w:t>相关调度参照省间电力交易执行工作流程，在应急调度执行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pacing w:val="-6"/>
          <w:kern w:val="2"/>
          <w:sz w:val="32"/>
          <w:szCs w:val="22"/>
          <w:highlight w:val="none"/>
          <w:lang w:val="en-US" w:eastAsia="zh-CN"/>
        </w:rPr>
        <w:t>后</w:t>
      </w:r>
      <w:r>
        <w:rPr>
          <w:rFonts w:hint="eastAsia" w:ascii="Times New Roman" w:hAnsi="Times New Roman" w:eastAsia="仿宋_GB2312" w:cs="仿宋_GB2312"/>
          <w:b w:val="0"/>
          <w:bCs w:val="0"/>
          <w:color w:val="auto"/>
          <w:spacing w:val="-6"/>
          <w:kern w:val="2"/>
          <w:sz w:val="32"/>
          <w:szCs w:val="22"/>
          <w:highlight w:val="none"/>
          <w:lang w:eastAsia="zh-CN"/>
        </w:rPr>
        <w:t>向对应电力交易机构推送应急调度执行曲线。</w:t>
      </w:r>
    </w:p>
    <w:p w14:paraId="126B4EBB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firstLine="632"/>
        <w:outlineLvl w:val="9"/>
        <w:rPr>
          <w:rFonts w:hint="eastAsia" w:ascii="Times New Roman" w:hAnsi="Times New Roman" w:eastAsia="仿宋_GB2312" w:cs="仿宋_GB231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pacing w:val="-6"/>
          <w:kern w:val="2"/>
          <w:sz w:val="32"/>
          <w:szCs w:val="22"/>
          <w:highlight w:val="none"/>
          <w:lang w:eastAsia="zh-CN"/>
        </w:rPr>
        <w:t>各级电力交易机构依据《电力市场计量结算基本规则》（发改能源规〔2025〕976号），按月出具电力应急调度结算依据。</w:t>
      </w:r>
    </w:p>
    <w:p w14:paraId="601AD4FC">
      <w:pPr>
        <w:pStyle w:val="5"/>
        <w:spacing w:beforeLines="0" w:afterLines="0" w:line="560" w:lineRule="exact"/>
        <w:rPr>
          <w:rFonts w:hint="eastAsia" w:ascii="Times New Roman" w:hAnsi="Times New Roman"/>
          <w:lang w:val="en-US" w:eastAsia="zh-CN"/>
        </w:rPr>
      </w:pPr>
    </w:p>
    <w:p w14:paraId="2032415C">
      <w:pPr>
        <w:widowControl/>
        <w:numPr>
          <w:ilvl w:val="0"/>
          <w:numId w:val="1"/>
        </w:numPr>
        <w:snapToGrid w:val="0"/>
        <w:spacing w:before="0" w:beforeLines="0" w:after="0" w:afterLines="0" w:line="560" w:lineRule="exact"/>
        <w:jc w:val="center"/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</w:rPr>
      </w:pPr>
      <w:r>
        <w:rPr>
          <w:rFonts w:hint="eastAsia" w:ascii="Times New Roman" w:hAnsi="Times New Roman" w:eastAsia="黑体" w:cs="黑体"/>
          <w:b/>
          <w:bCs/>
          <w:color w:val="auto"/>
          <w:sz w:val="32"/>
          <w:szCs w:val="22"/>
          <w:highlight w:val="none"/>
        </w:rPr>
        <w:t>附则</w:t>
      </w:r>
    </w:p>
    <w:p w14:paraId="75FB30E3">
      <w:pPr>
        <w:numPr>
          <w:ilvl w:val="0"/>
          <w:numId w:val="2"/>
        </w:numPr>
        <w:tabs>
          <w:tab w:val="left" w:pos="680"/>
          <w:tab w:val="left" w:pos="1260"/>
        </w:tabs>
        <w:spacing w:beforeLines="0" w:afterLines="0" w:line="560" w:lineRule="exact"/>
        <w:ind w:firstLine="616"/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本细则实施过程中如遇相关规则严重不适用等突发情况，应立即暂停实施。</w:t>
      </w:r>
    </w:p>
    <w:p w14:paraId="78A00A8B">
      <w:pPr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680"/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16"/>
        <w:jc w:val="left"/>
        <w:textAlignment w:val="auto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本细则未明确的事项按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22"/>
          <w:highlight w:val="none"/>
        </w:rPr>
        <w:t>《办法》《国家电网有限公司跨省跨区电力应急调度实施细则》《跨省跨区电力应急调度管理办法华北区域实施细则》《京津冀电网参与跨省跨区电力应急调度实施细则》《京津唐电网电力平衡不足情况下参与省间现货、应急调度实施细则》</w:t>
      </w:r>
      <w:r>
        <w:rPr>
          <w:rFonts w:hint="eastAsia" w:eastAsia="仿宋_GB2312" w:cs="仿宋_GB2312"/>
          <w:color w:val="auto"/>
          <w:kern w:val="0"/>
          <w:sz w:val="32"/>
          <w:szCs w:val="22"/>
          <w:highlight w:val="none"/>
          <w:lang w:eastAsia="zh-CN"/>
        </w:rPr>
        <w:t>等</w:t>
      </w:r>
      <w:r>
        <w:rPr>
          <w:rFonts w:hint="eastAsia" w:ascii="Times New Roman" w:hAnsi="Times New Roman" w:eastAsia="仿宋_GB2312" w:cs="仿宋_GB2312"/>
          <w:color w:val="auto"/>
          <w:spacing w:val="-4"/>
          <w:sz w:val="32"/>
          <w:szCs w:val="22"/>
          <w:highlight w:val="none"/>
        </w:rPr>
        <w:t>相关规定执行。</w:t>
      </w:r>
    </w:p>
    <w:p w14:paraId="43B94DE0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30479C"/>
    <w:multiLevelType w:val="singleLevel"/>
    <w:tmpl w:val="8F30479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00000004"/>
    <w:multiLevelType w:val="multilevel"/>
    <w:tmpl w:val="00000004"/>
    <w:lvl w:ilvl="0" w:tentative="0">
      <w:start w:val="1"/>
      <w:numFmt w:val="chineseCountingThousand"/>
      <w:lvlText w:val="第%1条"/>
      <w:lvlJc w:val="left"/>
      <w:pPr>
        <w:tabs>
          <w:tab w:val="left" w:pos="567"/>
        </w:tabs>
        <w:ind w:left="-115" w:firstLine="680"/>
      </w:pPr>
      <w:rPr>
        <w:rFonts w:hint="eastAsia" w:ascii="方正仿宋_GBK" w:hAnsi="方正仿宋_GBK" w:eastAsia="方正仿宋_GBK" w:cs="方正仿宋_GBK"/>
        <w:b/>
        <w:i w:val="0"/>
        <w:sz w:val="32"/>
        <w:szCs w:val="32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eastAsia"/>
      </w:rPr>
    </w:lvl>
  </w:abstractNum>
  <w:abstractNum w:abstractNumId="2">
    <w:nsid w:val="31F3E4DF"/>
    <w:multiLevelType w:val="singleLevel"/>
    <w:tmpl w:val="31F3E4D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39D96C4F"/>
    <w:multiLevelType w:val="multilevel"/>
    <w:tmpl w:val="39D96C4F"/>
    <w:lvl w:ilvl="0" w:tentative="0">
      <w:start w:val="1"/>
      <w:numFmt w:val="japaneseCounting"/>
      <w:lvlText w:val="第%1章"/>
      <w:lvlJc w:val="left"/>
      <w:pPr>
        <w:ind w:left="1395" w:hanging="1395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default" w:ascii="Times New Roman" w:hAnsi="Times New Roman"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14B91"/>
    <w:rsid w:val="2D21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after="40" w:line="360" w:lineRule="auto"/>
      <w:ind w:firstLine="420" w:firstLineChars="200"/>
    </w:pPr>
    <w:rPr>
      <w:rFonts w:ascii="Calibri" w:hAnsi="Calibri" w:eastAsia="宋体"/>
      <w:sz w:val="24"/>
    </w:rPr>
  </w:style>
  <w:style w:type="paragraph" w:styleId="3">
    <w:name w:val="Body Text Indent"/>
    <w:basedOn w:val="1"/>
    <w:qFormat/>
    <w:uiPriority w:val="0"/>
    <w:pPr>
      <w:snapToGrid w:val="0"/>
      <w:spacing w:line="300" w:lineRule="auto"/>
      <w:ind w:firstLine="720"/>
    </w:pPr>
    <w:rPr>
      <w:rFonts w:eastAsia="楷体_GB2312"/>
      <w:sz w:val="30"/>
      <w:szCs w:val="20"/>
    </w:rPr>
  </w:style>
  <w:style w:type="paragraph" w:styleId="4">
    <w:name w:val="Body Text"/>
    <w:basedOn w:val="1"/>
    <w:next w:val="1"/>
    <w:qFormat/>
    <w:uiPriority w:val="0"/>
    <w:rPr>
      <w:rFonts w:ascii="Times New Roman" w:hAnsi="Times New Roman" w:eastAsia="宋体" w:cs="Times New Roman"/>
      <w:lang w:bidi="ar-SA"/>
    </w:rPr>
  </w:style>
  <w:style w:type="paragraph" w:styleId="5">
    <w:name w:val="Normal Indent"/>
    <w:basedOn w:val="1"/>
    <w:next w:val="1"/>
    <w:qFormat/>
    <w:uiPriority w:val="99"/>
    <w:pPr>
      <w:spacing w:line="580" w:lineRule="exact"/>
      <w:ind w:firstLine="420" w:firstLineChars="200"/>
    </w:pPr>
    <w:rPr>
      <w:rFonts w:hint="eastAsia" w:ascii="仿宋_GB2312" w:hAnsi="Calibri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2026-09-30T10:15:00Z</dcterms:created>
  <dc:creator>英雄的黎明</dc:creator>
  <cp:lastModifiedBy>英雄的黎明</cp:lastModifiedBy>
  <dcterms:modified xsi:type="dcterms:W3CDTF">2026-09-30T10:16:17Z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F1D44081CDC64097B7A5F313B79B069A_11</vt:lpwstr>
  </property>
  <property fmtid="{D5CDD505-2E9C-101B-9397-08002B2CF9AE}" pid="4" name="KSOTemplateDocerSaveRecord">
    <vt:lpwstr>eyJoZGlkIjoiNjUwMjRhZTU5OGRkNzhkMDM1ZjFhMzU1OGYzNDA5NTIiLCJ1c2VySWQiOiIzODc1NzcxNzEifQ==</vt:lpwstr>
  </property>
</Properties>
</file>