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9A483E">
      <w:pPr>
        <w:pStyle w:val="4"/>
        <w:spacing w:beforeLines="0" w:afterLines="0" w:line="560" w:lineRule="exac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lang w:val="en-US" w:eastAsia="zh-CN"/>
        </w:rPr>
        <w:t>附件2</w:t>
      </w:r>
    </w:p>
    <w:p w14:paraId="16F6884D">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0" w:firstLineChars="0"/>
        <w:jc w:val="both"/>
        <w:textAlignment w:val="auto"/>
        <w:rPr>
          <w:rFonts w:hint="default" w:ascii="Times New Roman" w:hAnsi="Times New Roman" w:eastAsia="方正小标宋_GBK" w:cs="Times New Roman"/>
          <w:kern w:val="2"/>
          <w:sz w:val="44"/>
          <w:szCs w:val="44"/>
          <w:highlight w:val="none"/>
          <w:lang w:val="en-US" w:eastAsia="zh-CN" w:bidi="ar-SA"/>
        </w:rPr>
      </w:pPr>
    </w:p>
    <w:p w14:paraId="2E5B6183">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0" w:firstLineChars="0"/>
        <w:jc w:val="center"/>
        <w:textAlignment w:val="auto"/>
        <w:rPr>
          <w:rFonts w:hint="eastAsia" w:ascii="Times New Roman" w:hAnsi="Times New Roman" w:eastAsia="方正小标宋简体" w:cs="方正小标宋简体"/>
          <w:kern w:val="2"/>
          <w:sz w:val="44"/>
          <w:szCs w:val="44"/>
          <w:highlight w:val="none"/>
          <w:lang w:val="en-US" w:eastAsia="zh-CN" w:bidi="ar-SA"/>
        </w:rPr>
      </w:pPr>
      <w:r>
        <w:rPr>
          <w:rFonts w:hint="eastAsia" w:ascii="Times New Roman" w:hAnsi="Times New Roman" w:eastAsia="方正小标宋简体" w:cs="方正小标宋简体"/>
          <w:kern w:val="2"/>
          <w:sz w:val="44"/>
          <w:szCs w:val="44"/>
          <w:highlight w:val="none"/>
          <w:lang w:val="en-US" w:eastAsia="zh-CN" w:bidi="ar-SA"/>
        </w:rPr>
        <w:t>天津电网直调主力火电机组预计划编制原则</w:t>
      </w:r>
    </w:p>
    <w:p w14:paraId="4F826FD5">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0" w:firstLineChars="0"/>
        <w:jc w:val="center"/>
        <w:textAlignment w:val="auto"/>
        <w:rPr>
          <w:rFonts w:hint="default" w:ascii="Times New Roman" w:hAnsi="Times New Roman" w:eastAsia="方正小标宋_GBK" w:cs="Times New Roman"/>
          <w:kern w:val="2"/>
          <w:sz w:val="44"/>
          <w:szCs w:val="44"/>
          <w:highlight w:val="none"/>
          <w:lang w:val="en-US" w:eastAsia="zh-CN" w:bidi="ar-SA"/>
        </w:rPr>
      </w:pPr>
    </w:p>
    <w:p w14:paraId="4334D237">
      <w:pPr>
        <w:keepNext w:val="0"/>
        <w:keepLines w:val="0"/>
        <w:pageBreakBefore w:val="0"/>
        <w:widowControl/>
        <w:numPr>
          <w:ilvl w:val="0"/>
          <w:numId w:val="1"/>
        </w:numPr>
        <w:kinsoku/>
        <w:wordWrap/>
        <w:overflowPunct/>
        <w:topLinePunct w:val="0"/>
        <w:autoSpaceDE/>
        <w:autoSpaceDN/>
        <w:bidi w:val="0"/>
        <w:adjustRightInd/>
        <w:snapToGrid w:val="0"/>
        <w:spacing w:before="0" w:beforeLines="0" w:after="0" w:afterLines="0" w:line="560" w:lineRule="exact"/>
        <w:ind w:left="0" w:firstLine="0" w:firstLineChars="0"/>
        <w:jc w:val="center"/>
        <w:textAlignment w:val="auto"/>
        <w:rPr>
          <w:rFonts w:hint="default" w:ascii="Times New Roman" w:hAnsi="Times New Roman" w:eastAsia="黑体" w:cs="Times New Roman"/>
          <w:b/>
          <w:bCs/>
          <w:color w:val="auto"/>
          <w:sz w:val="32"/>
          <w:szCs w:val="32"/>
          <w:highlight w:val="none"/>
        </w:rPr>
      </w:pPr>
      <w:r>
        <w:rPr>
          <w:rFonts w:hint="default" w:ascii="Times New Roman" w:hAnsi="Times New Roman" w:eastAsia="黑体" w:cs="Times New Roman"/>
          <w:b/>
          <w:bCs/>
          <w:color w:val="auto"/>
          <w:sz w:val="32"/>
          <w:szCs w:val="32"/>
          <w:highlight w:val="none"/>
        </w:rPr>
        <w:t>总</w:t>
      </w:r>
      <w:r>
        <w:rPr>
          <w:rFonts w:hint="default" w:ascii="Times New Roman" w:hAnsi="Times New Roman" w:eastAsia="黑体" w:cs="Times New Roman"/>
          <w:b/>
          <w:bCs/>
          <w:color w:val="auto"/>
          <w:sz w:val="32"/>
          <w:szCs w:val="32"/>
          <w:highlight w:val="none"/>
          <w:lang w:val="en-US" w:eastAsia="zh-CN"/>
        </w:rPr>
        <w:t xml:space="preserve">  </w:t>
      </w:r>
      <w:r>
        <w:rPr>
          <w:rFonts w:hint="default" w:ascii="Times New Roman" w:hAnsi="Times New Roman" w:eastAsia="黑体" w:cs="Times New Roman"/>
          <w:b/>
          <w:bCs/>
          <w:color w:val="auto"/>
          <w:sz w:val="32"/>
          <w:szCs w:val="32"/>
          <w:highlight w:val="none"/>
        </w:rPr>
        <w:t>则</w:t>
      </w:r>
    </w:p>
    <w:p w14:paraId="4F09E654">
      <w:pPr>
        <w:keepNext w:val="0"/>
        <w:keepLines w:val="0"/>
        <w:pageBreakBefore w:val="0"/>
        <w:widowControl/>
        <w:numPr>
          <w:ilvl w:val="0"/>
          <w:numId w:val="2"/>
        </w:numPr>
        <w:kinsoku/>
        <w:wordWrap/>
        <w:overflowPunct/>
        <w:topLinePunct w:val="0"/>
        <w:autoSpaceDE/>
        <w:autoSpaceDN/>
        <w:bidi w:val="0"/>
        <w:adjustRightInd/>
        <w:snapToGrid w:val="0"/>
        <w:spacing w:beforeLines="0" w:afterLines="0" w:line="560" w:lineRule="exact"/>
        <w:ind w:firstLine="640" w:firstLineChars="200"/>
        <w:textAlignment w:val="auto"/>
        <w:rPr>
          <w:rFonts w:hint="default" w:ascii="Times New Roman" w:hAnsi="Times New Roman" w:eastAsia="仿宋_GB2312" w:cs="仿宋_GB2312"/>
          <w:sz w:val="32"/>
          <w:szCs w:val="32"/>
          <w:highlight w:val="none"/>
          <w:lang w:val="en-US" w:eastAsia="zh-CN" w:bidi="ar"/>
        </w:rPr>
      </w:pPr>
      <w:r>
        <w:rPr>
          <w:rFonts w:hint="default" w:ascii="Times New Roman" w:hAnsi="Times New Roman" w:eastAsia="仿宋_GB2312" w:cs="仿宋_GB2312"/>
          <w:sz w:val="32"/>
          <w:szCs w:val="32"/>
          <w:highlight w:val="none"/>
          <w:lang w:val="en-US" w:eastAsia="zh-CN" w:bidi="ar"/>
        </w:rPr>
        <w:t>为加强预计划编制与省间现货交易组织时序衔接，保障天津电网电力平衡、安全稳定运行、民生供热等需要，依据《电网调度管理条例》《电力系统安全稳定导则》《电力系统技术导则》《</w:t>
      </w:r>
      <w:bookmarkStart w:id="1" w:name="_GoBack"/>
      <w:bookmarkEnd w:id="1"/>
      <w:r>
        <w:rPr>
          <w:rFonts w:hint="default" w:ascii="Times New Roman" w:hAnsi="Times New Roman" w:eastAsia="仿宋_GB2312" w:cs="仿宋_GB2312"/>
          <w:sz w:val="32"/>
          <w:szCs w:val="32"/>
          <w:highlight w:val="none"/>
          <w:lang w:val="en-US" w:eastAsia="zh-CN" w:bidi="ar"/>
        </w:rPr>
        <w:t>国家电网调度控制管理规程》《天津市参与省间电力现货交易工作方案》等有关文件，充分考虑京津唐电网两级调度运行要求，结合天津电网运行实际制定本规定。</w:t>
      </w:r>
    </w:p>
    <w:p w14:paraId="773FC46C">
      <w:pPr>
        <w:keepNext w:val="0"/>
        <w:keepLines w:val="0"/>
        <w:pageBreakBefore w:val="0"/>
        <w:widowControl/>
        <w:numPr>
          <w:ilvl w:val="0"/>
          <w:numId w:val="2"/>
        </w:numPr>
        <w:kinsoku/>
        <w:wordWrap/>
        <w:overflowPunct/>
        <w:topLinePunct w:val="0"/>
        <w:autoSpaceDE/>
        <w:autoSpaceDN/>
        <w:bidi w:val="0"/>
        <w:adjustRightInd/>
        <w:snapToGrid w:val="0"/>
        <w:spacing w:beforeLines="0" w:afterLines="0" w:line="560" w:lineRule="exact"/>
        <w:ind w:firstLine="640" w:firstLineChars="200"/>
        <w:textAlignment w:val="auto"/>
        <w:rPr>
          <w:rFonts w:hint="default" w:ascii="Times New Roman" w:hAnsi="Times New Roman" w:eastAsia="仿宋_GB2312" w:cs="仿宋_GB2312"/>
          <w:sz w:val="32"/>
          <w:szCs w:val="32"/>
          <w:highlight w:val="none"/>
          <w:lang w:val="en-US" w:eastAsia="zh-CN" w:bidi="ar"/>
        </w:rPr>
      </w:pPr>
      <w:r>
        <w:rPr>
          <w:rFonts w:hint="default" w:ascii="Times New Roman" w:hAnsi="Times New Roman" w:eastAsia="仿宋_GB2312" w:cs="仿宋_GB2312"/>
          <w:sz w:val="32"/>
          <w:szCs w:val="32"/>
          <w:highlight w:val="none"/>
          <w:lang w:val="en-US" w:eastAsia="zh-CN" w:bidi="ar"/>
        </w:rPr>
        <w:t>天津电网参与京津唐电网统一电力平衡，</w:t>
      </w:r>
      <w:r>
        <w:rPr>
          <w:rFonts w:hint="eastAsia" w:ascii="Times New Roman" w:hAnsi="Times New Roman" w:eastAsia="仿宋_GB2312" w:cs="仿宋_GB2312"/>
          <w:sz w:val="32"/>
          <w:szCs w:val="32"/>
          <w:highlight w:val="none"/>
          <w:lang w:val="en-US" w:eastAsia="zh-CN" w:bidi="ar"/>
        </w:rPr>
        <w:t>国网天津市电力公司</w:t>
      </w:r>
      <w:r>
        <w:rPr>
          <w:rFonts w:hint="default" w:ascii="Times New Roman" w:hAnsi="Times New Roman" w:eastAsia="仿宋_GB2312" w:cs="仿宋_GB2312"/>
          <w:sz w:val="32"/>
          <w:szCs w:val="32"/>
          <w:highlight w:val="none"/>
          <w:lang w:val="en-US" w:eastAsia="zh-CN" w:bidi="ar"/>
        </w:rPr>
        <w:t>调度控制中心（以下简称</w:t>
      </w:r>
      <w:r>
        <w:rPr>
          <w:rFonts w:hint="eastAsia" w:ascii="Times New Roman" w:hAnsi="Times New Roman" w:eastAsia="仿宋_GB2312" w:cs="仿宋_GB2312"/>
          <w:sz w:val="32"/>
          <w:szCs w:val="32"/>
          <w:highlight w:val="none"/>
          <w:lang w:val="en-US" w:eastAsia="zh-CN" w:bidi="ar"/>
        </w:rPr>
        <w:t>“</w:t>
      </w:r>
      <w:r>
        <w:rPr>
          <w:rFonts w:hint="default" w:ascii="Times New Roman" w:hAnsi="Times New Roman" w:eastAsia="仿宋_GB2312" w:cs="仿宋_GB2312"/>
          <w:sz w:val="32"/>
          <w:szCs w:val="32"/>
          <w:highlight w:val="none"/>
          <w:lang w:val="en-US" w:eastAsia="zh-CN" w:bidi="ar"/>
        </w:rPr>
        <w:t>天津市调</w:t>
      </w:r>
      <w:r>
        <w:rPr>
          <w:rFonts w:hint="eastAsia" w:ascii="Times New Roman" w:hAnsi="Times New Roman" w:eastAsia="仿宋_GB2312" w:cs="仿宋_GB2312"/>
          <w:sz w:val="32"/>
          <w:szCs w:val="32"/>
          <w:highlight w:val="none"/>
          <w:lang w:val="en-US" w:eastAsia="zh-CN" w:bidi="ar"/>
        </w:rPr>
        <w:t>”</w:t>
      </w:r>
      <w:r>
        <w:rPr>
          <w:rFonts w:hint="default" w:ascii="Times New Roman" w:hAnsi="Times New Roman" w:eastAsia="仿宋_GB2312" w:cs="仿宋_GB2312"/>
          <w:sz w:val="32"/>
          <w:szCs w:val="32"/>
          <w:highlight w:val="none"/>
          <w:lang w:val="en-US" w:eastAsia="zh-CN" w:bidi="ar"/>
        </w:rPr>
        <w:t>）在国网华北分部调度控制中心（以下简称</w:t>
      </w:r>
      <w:r>
        <w:rPr>
          <w:rFonts w:hint="eastAsia" w:ascii="Times New Roman" w:hAnsi="Times New Roman" w:eastAsia="仿宋_GB2312" w:cs="仿宋_GB2312"/>
          <w:sz w:val="32"/>
          <w:szCs w:val="32"/>
          <w:highlight w:val="none"/>
          <w:lang w:val="en-US" w:eastAsia="zh-CN" w:bidi="ar"/>
        </w:rPr>
        <w:t>“</w:t>
      </w:r>
      <w:r>
        <w:rPr>
          <w:rFonts w:hint="default" w:ascii="Times New Roman" w:hAnsi="Times New Roman" w:eastAsia="仿宋_GB2312" w:cs="仿宋_GB2312"/>
          <w:sz w:val="32"/>
          <w:szCs w:val="32"/>
          <w:highlight w:val="none"/>
          <w:lang w:val="en-US" w:eastAsia="zh-CN" w:bidi="ar"/>
        </w:rPr>
        <w:t>华北网调</w:t>
      </w:r>
      <w:r>
        <w:rPr>
          <w:rFonts w:hint="eastAsia" w:ascii="Times New Roman" w:hAnsi="Times New Roman" w:eastAsia="仿宋_GB2312" w:cs="仿宋_GB2312"/>
          <w:sz w:val="32"/>
          <w:szCs w:val="32"/>
          <w:highlight w:val="none"/>
          <w:lang w:val="en-US" w:eastAsia="zh-CN" w:bidi="ar"/>
        </w:rPr>
        <w:t>”</w:t>
      </w:r>
      <w:r>
        <w:rPr>
          <w:rFonts w:hint="default" w:ascii="Times New Roman" w:hAnsi="Times New Roman" w:eastAsia="仿宋_GB2312" w:cs="仿宋_GB2312"/>
          <w:sz w:val="32"/>
          <w:szCs w:val="32"/>
          <w:highlight w:val="none"/>
          <w:lang w:val="en-US" w:eastAsia="zh-CN" w:bidi="ar"/>
        </w:rPr>
        <w:t>）的组织下开展预计划编制工作。</w:t>
      </w:r>
    </w:p>
    <w:p w14:paraId="576713F6">
      <w:pPr>
        <w:keepNext w:val="0"/>
        <w:keepLines w:val="0"/>
        <w:pageBreakBefore w:val="0"/>
        <w:widowControl/>
        <w:numPr>
          <w:ilvl w:val="0"/>
          <w:numId w:val="2"/>
        </w:numPr>
        <w:kinsoku/>
        <w:wordWrap/>
        <w:overflowPunct/>
        <w:topLinePunct w:val="0"/>
        <w:autoSpaceDE/>
        <w:autoSpaceDN/>
        <w:bidi w:val="0"/>
        <w:adjustRightInd/>
        <w:snapToGrid w:val="0"/>
        <w:spacing w:beforeLines="0" w:afterLines="0" w:line="560" w:lineRule="exact"/>
        <w:ind w:firstLine="640" w:firstLineChars="200"/>
        <w:textAlignment w:val="auto"/>
        <w:rPr>
          <w:rFonts w:hint="default" w:ascii="Times New Roman" w:hAnsi="Times New Roman" w:eastAsia="仿宋_GB2312" w:cs="仿宋_GB2312"/>
          <w:sz w:val="32"/>
          <w:szCs w:val="32"/>
          <w:highlight w:val="none"/>
          <w:lang w:val="en-US" w:eastAsia="zh-CN" w:bidi="ar"/>
        </w:rPr>
      </w:pPr>
      <w:r>
        <w:rPr>
          <w:rFonts w:hint="default" w:ascii="Times New Roman" w:hAnsi="Times New Roman" w:eastAsia="仿宋_GB2312" w:cs="仿宋_GB2312"/>
          <w:sz w:val="32"/>
          <w:szCs w:val="32"/>
          <w:highlight w:val="none"/>
          <w:lang w:val="en-US" w:eastAsia="zh-CN" w:bidi="ar"/>
        </w:rPr>
        <w:t>本规定适用于京津冀北现货市场未运行期间预计划编制管理方式。</w:t>
      </w:r>
    </w:p>
    <w:p w14:paraId="6B375B50">
      <w:pPr>
        <w:keepNext w:val="0"/>
        <w:keepLines w:val="0"/>
        <w:pageBreakBefore w:val="0"/>
        <w:widowControl/>
        <w:numPr>
          <w:ilvl w:val="-1"/>
          <w:numId w:val="0"/>
        </w:numPr>
        <w:kinsoku/>
        <w:wordWrap/>
        <w:overflowPunct/>
        <w:topLinePunct w:val="0"/>
        <w:autoSpaceDE/>
        <w:autoSpaceDN/>
        <w:bidi w:val="0"/>
        <w:adjustRightInd/>
        <w:snapToGrid w:val="0"/>
        <w:spacing w:beforeLines="0" w:afterLines="0" w:line="560" w:lineRule="exact"/>
        <w:ind w:leftChars="200" w:firstLine="0" w:firstLineChars="0"/>
        <w:textAlignment w:val="auto"/>
        <w:rPr>
          <w:rFonts w:hint="default" w:ascii="Times New Roman" w:hAnsi="Times New Roman" w:eastAsia="仿宋_GB2312" w:cs="仿宋_GB2312"/>
          <w:sz w:val="32"/>
          <w:szCs w:val="32"/>
          <w:highlight w:val="none"/>
          <w:lang w:val="en-US" w:eastAsia="zh-CN" w:bidi="ar"/>
        </w:rPr>
      </w:pPr>
    </w:p>
    <w:p w14:paraId="60F3C975">
      <w:pPr>
        <w:keepNext w:val="0"/>
        <w:keepLines w:val="0"/>
        <w:pageBreakBefore w:val="0"/>
        <w:widowControl/>
        <w:numPr>
          <w:ilvl w:val="0"/>
          <w:numId w:val="1"/>
        </w:numPr>
        <w:kinsoku/>
        <w:wordWrap/>
        <w:overflowPunct/>
        <w:topLinePunct w:val="0"/>
        <w:autoSpaceDE/>
        <w:autoSpaceDN/>
        <w:bidi w:val="0"/>
        <w:adjustRightInd/>
        <w:snapToGrid w:val="0"/>
        <w:spacing w:before="0" w:beforeLines="0" w:after="0" w:afterLines="0" w:line="560" w:lineRule="exact"/>
        <w:ind w:left="0" w:firstLine="0" w:firstLineChars="0"/>
        <w:jc w:val="center"/>
        <w:textAlignment w:val="auto"/>
        <w:rPr>
          <w:rFonts w:hint="default" w:ascii="Times New Roman" w:hAnsi="Times New Roman" w:eastAsia="黑体" w:cs="Times New Roman"/>
          <w:b/>
          <w:bCs/>
          <w:color w:val="auto"/>
          <w:sz w:val="32"/>
          <w:szCs w:val="32"/>
          <w:highlight w:val="none"/>
        </w:rPr>
      </w:pPr>
      <w:r>
        <w:rPr>
          <w:rFonts w:hint="default" w:ascii="Times New Roman" w:hAnsi="Times New Roman" w:eastAsia="黑体" w:cs="Times New Roman"/>
          <w:b/>
          <w:bCs/>
          <w:color w:val="auto"/>
          <w:sz w:val="32"/>
          <w:szCs w:val="32"/>
          <w:highlight w:val="none"/>
        </w:rPr>
        <w:t>机组组合</w:t>
      </w:r>
      <w:r>
        <w:rPr>
          <w:rFonts w:hint="default" w:ascii="Times New Roman" w:hAnsi="Times New Roman" w:eastAsia="黑体" w:cs="Times New Roman"/>
          <w:b/>
          <w:bCs/>
          <w:color w:val="auto"/>
          <w:sz w:val="32"/>
          <w:szCs w:val="32"/>
          <w:highlight w:val="none"/>
          <w:lang w:val="en-US" w:eastAsia="zh-CN"/>
        </w:rPr>
        <w:t>确定原则</w:t>
      </w:r>
    </w:p>
    <w:p w14:paraId="66256562">
      <w:pPr>
        <w:keepNext w:val="0"/>
        <w:keepLines w:val="0"/>
        <w:pageBreakBefore w:val="0"/>
        <w:widowControl/>
        <w:numPr>
          <w:ilvl w:val="0"/>
          <w:numId w:val="2"/>
        </w:numPr>
        <w:kinsoku/>
        <w:wordWrap/>
        <w:overflowPunct/>
        <w:topLinePunct w:val="0"/>
        <w:autoSpaceDE/>
        <w:autoSpaceDN/>
        <w:bidi w:val="0"/>
        <w:adjustRightInd/>
        <w:snapToGrid w:val="0"/>
        <w:spacing w:beforeLines="0" w:afterLines="0" w:line="560" w:lineRule="exact"/>
        <w:ind w:firstLine="640" w:firstLineChars="200"/>
        <w:textAlignment w:val="auto"/>
        <w:rPr>
          <w:rFonts w:hint="default" w:ascii="Times New Roman" w:hAnsi="Times New Roman" w:eastAsia="仿宋_GB2312" w:cs="仿宋_GB2312"/>
          <w:sz w:val="32"/>
          <w:szCs w:val="32"/>
          <w:highlight w:val="none"/>
          <w:lang w:val="en-US" w:eastAsia="zh-CN" w:bidi="ar"/>
        </w:rPr>
      </w:pPr>
      <w:r>
        <w:rPr>
          <w:rFonts w:hint="default" w:ascii="Times New Roman" w:hAnsi="Times New Roman" w:eastAsia="仿宋_GB2312" w:cs="仿宋_GB2312"/>
          <w:sz w:val="32"/>
          <w:szCs w:val="32"/>
          <w:highlight w:val="none"/>
          <w:lang w:val="en-US" w:eastAsia="zh-CN" w:bidi="ar"/>
        </w:rPr>
        <w:t>天津市调结合各电厂市场化交易电量（或优先发电计划）完成情况、电网安全约束、民生供热保障、地方能源政策要求、一次能源供应水平等因素，根据华北网调通知的开机容量及发电空间，合理确定调管机组开机组合</w:t>
      </w:r>
      <w:r>
        <w:rPr>
          <w:rFonts w:hint="eastAsia" w:ascii="Times New Roman" w:hAnsi="Times New Roman" w:eastAsia="仿宋_GB2312" w:cs="仿宋_GB2312"/>
          <w:sz w:val="32"/>
          <w:szCs w:val="32"/>
          <w:highlight w:val="none"/>
          <w:lang w:val="en-US" w:eastAsia="zh-CN" w:bidi="ar"/>
        </w:rPr>
        <w:t>。</w:t>
      </w:r>
      <w:r>
        <w:rPr>
          <w:rFonts w:hint="default" w:ascii="Times New Roman" w:hAnsi="Times New Roman" w:eastAsia="仿宋_GB2312" w:cs="仿宋_GB2312"/>
          <w:sz w:val="32"/>
          <w:szCs w:val="32"/>
          <w:highlight w:val="none"/>
          <w:lang w:val="en-US" w:eastAsia="zh-CN" w:bidi="ar"/>
        </w:rPr>
        <w:t>开机组合及容量需满足最小开机要求。</w:t>
      </w:r>
    </w:p>
    <w:p w14:paraId="5CCC7F10">
      <w:pPr>
        <w:keepNext w:val="0"/>
        <w:keepLines w:val="0"/>
        <w:pageBreakBefore w:val="0"/>
        <w:widowControl/>
        <w:numPr>
          <w:ilvl w:val="0"/>
          <w:numId w:val="2"/>
        </w:numPr>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Times New Roman" w:hAnsi="Times New Roman" w:eastAsia="仿宋_GB2312" w:cs="仿宋_GB2312"/>
          <w:sz w:val="32"/>
          <w:szCs w:val="32"/>
          <w:highlight w:val="none"/>
          <w:lang w:val="en-US" w:eastAsia="zh-CN" w:bidi="ar"/>
        </w:rPr>
      </w:pPr>
      <w:r>
        <w:rPr>
          <w:rFonts w:hint="default" w:ascii="Times New Roman" w:hAnsi="Times New Roman" w:eastAsia="仿宋_GB2312" w:cs="仿宋_GB2312"/>
          <w:sz w:val="32"/>
          <w:szCs w:val="32"/>
          <w:highlight w:val="none"/>
          <w:lang w:val="en-US" w:eastAsia="zh-CN" w:bidi="ar"/>
        </w:rPr>
        <w:t>天津电</w:t>
      </w:r>
      <w:r>
        <w:rPr>
          <w:rFonts w:hint="eastAsia" w:ascii="Times New Roman" w:hAnsi="Times New Roman" w:eastAsia="仿宋_GB2312" w:cs="仿宋_GB2312"/>
          <w:sz w:val="32"/>
          <w:szCs w:val="32"/>
          <w:highlight w:val="none"/>
          <w:lang w:val="en-US" w:eastAsia="zh-CN" w:bidi="ar"/>
        </w:rPr>
        <w:t>网主力火电机组最小开机原则：</w:t>
      </w:r>
    </w:p>
    <w:p w14:paraId="03BD7D4E">
      <w:pPr>
        <w:keepNext w:val="0"/>
        <w:keepLines w:val="0"/>
        <w:pageBreakBefore w:val="0"/>
        <w:numPr>
          <w:ilvl w:val="0"/>
          <w:numId w:val="3"/>
        </w:numPr>
        <w:kinsoku/>
        <w:wordWrap/>
        <w:overflowPunct/>
        <w:topLinePunct w:val="0"/>
        <w:autoSpaceDE/>
        <w:autoSpaceDN/>
        <w:bidi w:val="0"/>
        <w:adjustRightInd/>
        <w:snapToGrid w:val="0"/>
        <w:spacing w:beforeLines="0" w:afterLines="0" w:line="560" w:lineRule="exact"/>
        <w:ind w:firstLine="640" w:firstLineChars="200"/>
        <w:jc w:val="both"/>
        <w:textAlignment w:val="auto"/>
        <w:rPr>
          <w:rFonts w:hint="eastAsia" w:ascii="Times New Roman" w:hAnsi="Times New Roman" w:eastAsia="仿宋_GB2312" w:cs="仿宋_GB2312"/>
          <w:b w:val="0"/>
          <w:bCs w:val="0"/>
          <w:kern w:val="2"/>
          <w:sz w:val="32"/>
          <w:szCs w:val="32"/>
          <w:highlight w:val="none"/>
          <w:lang w:val="en-US" w:eastAsia="zh-CN" w:bidi="ar-SA"/>
        </w:rPr>
      </w:pPr>
      <w:r>
        <w:rPr>
          <w:rFonts w:hint="eastAsia" w:ascii="Times New Roman" w:hAnsi="Times New Roman" w:eastAsia="仿宋_GB2312" w:cs="仿宋_GB2312"/>
          <w:b w:val="0"/>
          <w:bCs w:val="0"/>
          <w:color w:val="auto"/>
          <w:kern w:val="2"/>
          <w:sz w:val="32"/>
          <w:szCs w:val="32"/>
          <w:highlight w:val="none"/>
          <w:lang w:val="en-US" w:eastAsia="zh-CN" w:bidi="ar-SA"/>
        </w:rPr>
        <w:t>满足京津唐电网电力平衡、华北电网常规电源最小开机等要求。</w:t>
      </w:r>
    </w:p>
    <w:p w14:paraId="6F455C2D">
      <w:pPr>
        <w:keepNext w:val="0"/>
        <w:keepLines w:val="0"/>
        <w:pageBreakBefore w:val="0"/>
        <w:numPr>
          <w:ilvl w:val="0"/>
          <w:numId w:val="3"/>
        </w:numPr>
        <w:kinsoku/>
        <w:wordWrap/>
        <w:overflowPunct/>
        <w:topLinePunct w:val="0"/>
        <w:autoSpaceDE/>
        <w:autoSpaceDN/>
        <w:bidi w:val="0"/>
        <w:adjustRightInd/>
        <w:snapToGrid w:val="0"/>
        <w:spacing w:beforeLines="0" w:afterLines="0" w:line="560" w:lineRule="exact"/>
        <w:ind w:firstLine="640" w:firstLineChars="200"/>
        <w:jc w:val="both"/>
        <w:textAlignment w:val="auto"/>
        <w:rPr>
          <w:rFonts w:hint="eastAsia" w:ascii="Times New Roman" w:hAnsi="Times New Roman" w:eastAsia="仿宋_GB2312" w:cs="仿宋_GB2312"/>
          <w:b w:val="0"/>
          <w:bCs w:val="0"/>
          <w:kern w:val="2"/>
          <w:sz w:val="32"/>
          <w:szCs w:val="32"/>
          <w:highlight w:val="none"/>
          <w:lang w:val="en-US" w:eastAsia="zh-CN" w:bidi="ar-SA"/>
        </w:rPr>
      </w:pPr>
      <w:r>
        <w:rPr>
          <w:rFonts w:hint="eastAsia" w:ascii="Times New Roman" w:hAnsi="Times New Roman" w:eastAsia="仿宋_GB2312" w:cs="仿宋_GB2312"/>
          <w:b w:val="0"/>
          <w:bCs w:val="0"/>
          <w:kern w:val="2"/>
          <w:sz w:val="32"/>
          <w:szCs w:val="32"/>
          <w:highlight w:val="none"/>
          <w:lang w:val="en-US" w:eastAsia="zh-CN" w:bidi="ar-SA"/>
        </w:rPr>
        <w:t>满足电网分区供电安全、局部电压稳定等安全约束。</w:t>
      </w:r>
    </w:p>
    <w:p w14:paraId="1E7ED77A">
      <w:pPr>
        <w:keepNext w:val="0"/>
        <w:keepLines w:val="0"/>
        <w:pageBreakBefore w:val="0"/>
        <w:numPr>
          <w:ilvl w:val="0"/>
          <w:numId w:val="3"/>
        </w:numPr>
        <w:kinsoku/>
        <w:wordWrap/>
        <w:overflowPunct/>
        <w:topLinePunct w:val="0"/>
        <w:autoSpaceDE/>
        <w:autoSpaceDN/>
        <w:bidi w:val="0"/>
        <w:adjustRightInd/>
        <w:snapToGrid w:val="0"/>
        <w:spacing w:beforeLines="0" w:afterLines="0" w:line="560" w:lineRule="exact"/>
        <w:ind w:firstLine="640" w:firstLineChars="200"/>
        <w:jc w:val="both"/>
        <w:textAlignment w:val="auto"/>
        <w:rPr>
          <w:rFonts w:hint="eastAsia" w:ascii="Times New Roman" w:hAnsi="Times New Roman" w:eastAsia="仿宋_GB2312" w:cs="仿宋_GB2312"/>
          <w:b w:val="0"/>
          <w:bCs w:val="0"/>
          <w:kern w:val="2"/>
          <w:sz w:val="32"/>
          <w:szCs w:val="32"/>
          <w:highlight w:val="none"/>
          <w:lang w:val="en-US" w:eastAsia="zh-CN" w:bidi="ar-SA"/>
        </w:rPr>
      </w:pPr>
      <w:r>
        <w:rPr>
          <w:rFonts w:hint="eastAsia" w:ascii="Times New Roman" w:hAnsi="Times New Roman" w:eastAsia="仿宋_GB2312" w:cs="仿宋_GB2312"/>
          <w:b w:val="0"/>
          <w:bCs w:val="0"/>
          <w:kern w:val="2"/>
          <w:sz w:val="32"/>
          <w:szCs w:val="32"/>
          <w:highlight w:val="none"/>
          <w:lang w:val="en-US" w:eastAsia="zh-CN" w:bidi="ar-SA"/>
        </w:rPr>
        <w:t>满足调度运行规定中的电厂开机最小方式。</w:t>
      </w:r>
    </w:p>
    <w:p w14:paraId="11CDB727">
      <w:pPr>
        <w:keepNext w:val="0"/>
        <w:keepLines w:val="0"/>
        <w:pageBreakBefore w:val="0"/>
        <w:numPr>
          <w:ilvl w:val="0"/>
          <w:numId w:val="3"/>
        </w:numPr>
        <w:kinsoku/>
        <w:wordWrap/>
        <w:overflowPunct/>
        <w:topLinePunct w:val="0"/>
        <w:autoSpaceDE/>
        <w:autoSpaceDN/>
        <w:bidi w:val="0"/>
        <w:adjustRightInd/>
        <w:snapToGrid w:val="0"/>
        <w:spacing w:beforeLines="0" w:afterLines="0" w:line="560" w:lineRule="exact"/>
        <w:ind w:firstLine="640" w:firstLineChars="200"/>
        <w:jc w:val="both"/>
        <w:textAlignment w:val="auto"/>
        <w:rPr>
          <w:rFonts w:hint="eastAsia" w:ascii="Times New Roman" w:hAnsi="Times New Roman" w:eastAsia="仿宋_GB2312" w:cs="仿宋_GB2312"/>
          <w:kern w:val="2"/>
          <w:sz w:val="32"/>
          <w:szCs w:val="32"/>
          <w:highlight w:val="none"/>
          <w:lang w:val="en-US" w:eastAsia="zh-CN" w:bidi="ar-SA"/>
        </w:rPr>
      </w:pPr>
      <w:r>
        <w:rPr>
          <w:rFonts w:hint="eastAsia" w:ascii="Times New Roman" w:hAnsi="Times New Roman" w:eastAsia="仿宋_GB2312" w:cs="仿宋_GB2312"/>
          <w:b w:val="0"/>
          <w:bCs w:val="0"/>
          <w:kern w:val="2"/>
          <w:sz w:val="32"/>
          <w:szCs w:val="32"/>
          <w:highlight w:val="none"/>
          <w:lang w:val="en-US" w:eastAsia="zh-CN" w:bidi="ar-SA"/>
        </w:rPr>
        <w:t>供热期供热机组开机满足政府部门核准的供热最小开机方式约束。</w:t>
      </w:r>
    </w:p>
    <w:p w14:paraId="344FE56F">
      <w:pPr>
        <w:keepNext w:val="0"/>
        <w:keepLines w:val="0"/>
        <w:pageBreakBefore w:val="0"/>
        <w:numPr>
          <w:ilvl w:val="0"/>
          <w:numId w:val="3"/>
        </w:numPr>
        <w:kinsoku/>
        <w:wordWrap/>
        <w:overflowPunct/>
        <w:topLinePunct w:val="0"/>
        <w:autoSpaceDE/>
        <w:autoSpaceDN/>
        <w:bidi w:val="0"/>
        <w:adjustRightInd/>
        <w:snapToGrid w:val="0"/>
        <w:spacing w:beforeLines="0" w:afterLines="0" w:line="560" w:lineRule="exact"/>
        <w:ind w:firstLine="640" w:firstLineChars="200"/>
        <w:jc w:val="both"/>
        <w:textAlignment w:val="auto"/>
        <w:rPr>
          <w:rFonts w:hint="eastAsia" w:ascii="Times New Roman" w:hAnsi="Times New Roman" w:eastAsia="仿宋_GB2312" w:cs="仿宋_GB2312"/>
          <w:b w:val="0"/>
          <w:bCs w:val="0"/>
          <w:kern w:val="2"/>
          <w:sz w:val="32"/>
          <w:szCs w:val="32"/>
          <w:highlight w:val="none"/>
          <w:lang w:val="en-US" w:eastAsia="zh-CN" w:bidi="ar-SA"/>
        </w:rPr>
      </w:pPr>
      <w:r>
        <w:rPr>
          <w:rFonts w:hint="eastAsia" w:ascii="Times New Roman" w:hAnsi="Times New Roman" w:eastAsia="仿宋_GB2312" w:cs="仿宋_GB2312"/>
          <w:b w:val="0"/>
          <w:bCs w:val="0"/>
          <w:kern w:val="2"/>
          <w:sz w:val="32"/>
          <w:szCs w:val="32"/>
          <w:highlight w:val="none"/>
          <w:lang w:val="en-US" w:eastAsia="zh-CN" w:bidi="ar-SA"/>
        </w:rPr>
        <w:t>南港热电厂为以热定电电厂，正常情况下不干预电厂开机方式。绿煤热电因其特殊发电性质，需考虑机组启停时长等统筹安排运行方式。</w:t>
      </w:r>
    </w:p>
    <w:p w14:paraId="0B016837">
      <w:pPr>
        <w:keepNext w:val="0"/>
        <w:keepLines w:val="0"/>
        <w:pageBreakBefore w:val="0"/>
        <w:numPr>
          <w:ilvl w:val="0"/>
          <w:numId w:val="3"/>
        </w:numPr>
        <w:kinsoku/>
        <w:wordWrap/>
        <w:overflowPunct/>
        <w:topLinePunct w:val="0"/>
        <w:autoSpaceDE/>
        <w:autoSpaceDN/>
        <w:bidi w:val="0"/>
        <w:adjustRightInd/>
        <w:snapToGrid w:val="0"/>
        <w:spacing w:beforeLines="0" w:afterLines="0" w:line="560" w:lineRule="exact"/>
        <w:ind w:firstLine="640" w:firstLineChars="200"/>
        <w:jc w:val="both"/>
        <w:textAlignment w:val="auto"/>
        <w:rPr>
          <w:rFonts w:hint="eastAsia" w:ascii="Times New Roman" w:hAnsi="Times New Roman" w:eastAsia="仿宋_GB2312" w:cs="仿宋_GB2312"/>
          <w:b w:val="0"/>
          <w:bCs w:val="0"/>
          <w:kern w:val="2"/>
          <w:sz w:val="32"/>
          <w:szCs w:val="32"/>
          <w:highlight w:val="none"/>
          <w:lang w:val="en-US" w:eastAsia="zh-CN" w:bidi="ar-SA"/>
        </w:rPr>
      </w:pPr>
      <w:r>
        <w:rPr>
          <w:rFonts w:hint="eastAsia" w:ascii="Times New Roman" w:hAnsi="Times New Roman" w:eastAsia="仿宋_GB2312" w:cs="仿宋_GB2312"/>
          <w:b w:val="0"/>
          <w:bCs w:val="0"/>
          <w:snapToGrid/>
          <w:kern w:val="2"/>
          <w:sz w:val="32"/>
          <w:szCs w:val="32"/>
          <w:highlight w:val="none"/>
          <w:vertAlign w:val="baseline"/>
          <w:lang w:val="en-US" w:eastAsia="zh-CN" w:bidi="ar-SA"/>
        </w:rPr>
        <w:t>为保障电力供应可靠性，避免因新能源频繁波动等情况引起机组频繁启停，影响机组运行安全性和电力供应可靠性，应综合考虑未来三天新能源出力、负荷水平等情况，在保证电力平衡、电网安全最紧张日电力供应的前提下，可</w:t>
      </w:r>
      <w:r>
        <w:rPr>
          <w:rFonts w:hint="eastAsia" w:ascii="Times New Roman" w:hAnsi="Times New Roman" w:eastAsia="仿宋_GB2312" w:cs="仿宋_GB2312"/>
          <w:b w:val="0"/>
          <w:bCs w:val="0"/>
          <w:kern w:val="2"/>
          <w:sz w:val="32"/>
          <w:szCs w:val="32"/>
          <w:highlight w:val="none"/>
          <w:lang w:val="en-US" w:eastAsia="zh-CN" w:bidi="ar-SA"/>
        </w:rPr>
        <w:t>按华北电网要求</w:t>
      </w:r>
      <w:r>
        <w:rPr>
          <w:rFonts w:hint="eastAsia" w:ascii="Times New Roman" w:hAnsi="Times New Roman" w:eastAsia="仿宋_GB2312" w:cs="仿宋_GB2312"/>
          <w:b w:val="0"/>
          <w:bCs w:val="0"/>
          <w:snapToGrid/>
          <w:kern w:val="2"/>
          <w:sz w:val="32"/>
          <w:szCs w:val="32"/>
          <w:highlight w:val="none"/>
          <w:vertAlign w:val="baseline"/>
          <w:lang w:val="en-US" w:eastAsia="zh-CN" w:bidi="ar-SA"/>
        </w:rPr>
        <w:t>适当增大其余日供应裕度。</w:t>
      </w:r>
    </w:p>
    <w:p w14:paraId="073E7D86">
      <w:pPr>
        <w:keepNext w:val="0"/>
        <w:keepLines w:val="0"/>
        <w:pageBreakBefore w:val="0"/>
        <w:numPr>
          <w:ilvl w:val="0"/>
          <w:numId w:val="3"/>
        </w:numPr>
        <w:kinsoku/>
        <w:wordWrap/>
        <w:overflowPunct/>
        <w:topLinePunct w:val="0"/>
        <w:autoSpaceDE/>
        <w:autoSpaceDN/>
        <w:bidi w:val="0"/>
        <w:adjustRightInd/>
        <w:snapToGrid w:val="0"/>
        <w:spacing w:beforeLines="0" w:afterLines="0" w:line="560" w:lineRule="exact"/>
        <w:ind w:firstLine="640" w:firstLineChars="200"/>
        <w:jc w:val="both"/>
        <w:textAlignment w:val="auto"/>
        <w:rPr>
          <w:rFonts w:hint="eastAsia" w:ascii="Times New Roman" w:hAnsi="Times New Roman" w:eastAsia="仿宋_GB2312" w:cs="仿宋_GB2312"/>
          <w:b w:val="0"/>
          <w:bCs w:val="0"/>
          <w:kern w:val="2"/>
          <w:sz w:val="32"/>
          <w:szCs w:val="32"/>
          <w:highlight w:val="none"/>
          <w:lang w:val="en-US" w:eastAsia="zh-CN" w:bidi="ar-SA"/>
        </w:rPr>
      </w:pPr>
      <w:r>
        <w:rPr>
          <w:rFonts w:hint="eastAsia" w:ascii="Times New Roman" w:hAnsi="Times New Roman" w:eastAsia="仿宋_GB2312" w:cs="仿宋_GB2312"/>
          <w:b w:val="0"/>
          <w:bCs w:val="0"/>
          <w:kern w:val="2"/>
          <w:sz w:val="32"/>
          <w:szCs w:val="32"/>
          <w:highlight w:val="none"/>
          <w:lang w:val="en-US" w:eastAsia="zh-CN" w:bidi="ar-SA"/>
        </w:rPr>
        <w:t>在节假日、重要保电时段、恶劣天气等情况，为保证电力供应和电网安全，可按华北电网要求适当增加开机比例。</w:t>
      </w:r>
    </w:p>
    <w:p w14:paraId="49DC95C8">
      <w:pPr>
        <w:keepNext w:val="0"/>
        <w:keepLines w:val="0"/>
        <w:pageBreakBefore w:val="0"/>
        <w:widowControl/>
        <w:numPr>
          <w:ilvl w:val="0"/>
          <w:numId w:val="2"/>
        </w:numPr>
        <w:kinsoku/>
        <w:wordWrap/>
        <w:overflowPunct/>
        <w:topLinePunct w:val="0"/>
        <w:autoSpaceDE/>
        <w:autoSpaceDN/>
        <w:bidi w:val="0"/>
        <w:adjustRightInd/>
        <w:snapToGrid w:val="0"/>
        <w:spacing w:beforeLines="0" w:afterLines="0" w:line="560" w:lineRule="exact"/>
        <w:ind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燃气机组机组组合确定原则</w:t>
      </w:r>
    </w:p>
    <w:p w14:paraId="5B507817">
      <w:pPr>
        <w:keepNext w:val="0"/>
        <w:keepLines w:val="0"/>
        <w:pageBreakBefore w:val="0"/>
        <w:numPr>
          <w:ilvl w:val="0"/>
          <w:numId w:val="4"/>
        </w:numPr>
        <w:kinsoku/>
        <w:wordWrap/>
        <w:overflowPunct/>
        <w:topLinePunct w:val="0"/>
        <w:autoSpaceDE/>
        <w:autoSpaceDN/>
        <w:bidi w:val="0"/>
        <w:adjustRightInd/>
        <w:snapToGrid w:val="0"/>
        <w:spacing w:beforeLines="0" w:afterLines="0" w:line="560" w:lineRule="exact"/>
        <w:ind w:firstLine="640" w:firstLineChars="200"/>
        <w:jc w:val="both"/>
        <w:textAlignment w:val="auto"/>
        <w:rPr>
          <w:rFonts w:hint="eastAsia" w:ascii="Times New Roman" w:hAnsi="Times New Roman" w:eastAsia="仿宋_GB2312" w:cs="仿宋_GB2312"/>
          <w:b w:val="0"/>
          <w:bCs w:val="0"/>
          <w:kern w:val="2"/>
          <w:sz w:val="32"/>
          <w:szCs w:val="32"/>
          <w:highlight w:val="none"/>
          <w:lang w:val="en-US" w:eastAsia="zh-CN" w:bidi="ar-SA"/>
        </w:rPr>
      </w:pPr>
      <w:r>
        <w:rPr>
          <w:rFonts w:hint="eastAsia" w:ascii="Times New Roman" w:hAnsi="Times New Roman" w:eastAsia="仿宋_GB2312" w:cs="仿宋_GB2312"/>
          <w:b w:val="0"/>
          <w:bCs w:val="0"/>
          <w:kern w:val="2"/>
          <w:sz w:val="32"/>
          <w:szCs w:val="32"/>
          <w:highlight w:val="none"/>
          <w:lang w:val="en-US" w:eastAsia="zh-CN" w:bidi="ar-SA"/>
        </w:rPr>
        <w:t>统筹考虑燃气电厂电量计划，优先利用燃气机组灵活启停的特性开展启停调峰，促进新能源消纳。</w:t>
      </w:r>
    </w:p>
    <w:p w14:paraId="3EB531F9">
      <w:pPr>
        <w:keepNext w:val="0"/>
        <w:keepLines w:val="0"/>
        <w:pageBreakBefore w:val="0"/>
        <w:numPr>
          <w:ilvl w:val="0"/>
          <w:numId w:val="4"/>
        </w:numPr>
        <w:kinsoku/>
        <w:wordWrap/>
        <w:overflowPunct/>
        <w:topLinePunct w:val="0"/>
        <w:autoSpaceDE/>
        <w:autoSpaceDN/>
        <w:bidi w:val="0"/>
        <w:adjustRightInd/>
        <w:snapToGrid w:val="0"/>
        <w:spacing w:beforeLines="0" w:afterLines="0" w:line="560" w:lineRule="exact"/>
        <w:ind w:firstLine="640" w:firstLineChars="200"/>
        <w:jc w:val="both"/>
        <w:textAlignment w:val="auto"/>
        <w:rPr>
          <w:rFonts w:hint="eastAsia" w:ascii="Times New Roman" w:hAnsi="Times New Roman" w:eastAsia="仿宋_GB2312" w:cs="仿宋_GB2312"/>
          <w:b w:val="0"/>
          <w:bCs w:val="0"/>
          <w:kern w:val="2"/>
          <w:sz w:val="32"/>
          <w:szCs w:val="32"/>
          <w:highlight w:val="none"/>
          <w:lang w:val="en-US" w:eastAsia="zh-CN" w:bidi="ar-SA"/>
        </w:rPr>
      </w:pPr>
      <w:r>
        <w:rPr>
          <w:rFonts w:hint="eastAsia" w:ascii="Times New Roman" w:hAnsi="Times New Roman" w:eastAsia="仿宋_GB2312" w:cs="仿宋_GB2312"/>
          <w:b w:val="0"/>
          <w:bCs w:val="0"/>
          <w:kern w:val="2"/>
          <w:sz w:val="32"/>
          <w:szCs w:val="32"/>
          <w:highlight w:val="none"/>
          <w:lang w:val="en-US" w:eastAsia="zh-CN" w:bidi="ar-SA"/>
        </w:rPr>
        <w:t>在考虑当月机组检修计划、输变电检修计划约束、环保控煤等要求基础上，燃气电厂以电量进度为依据确定开停机顺序。</w:t>
      </w:r>
    </w:p>
    <w:p w14:paraId="7DDC3A2A">
      <w:pPr>
        <w:keepNext w:val="0"/>
        <w:keepLines w:val="0"/>
        <w:pageBreakBefore w:val="0"/>
        <w:numPr>
          <w:ilvl w:val="0"/>
          <w:numId w:val="4"/>
        </w:numPr>
        <w:kinsoku/>
        <w:wordWrap/>
        <w:overflowPunct/>
        <w:topLinePunct w:val="0"/>
        <w:autoSpaceDE/>
        <w:autoSpaceDN/>
        <w:bidi w:val="0"/>
        <w:adjustRightInd/>
        <w:snapToGrid w:val="0"/>
        <w:spacing w:beforeLines="0" w:afterLines="0" w:line="560" w:lineRule="exact"/>
        <w:ind w:firstLine="640" w:firstLineChars="200"/>
        <w:jc w:val="both"/>
        <w:textAlignment w:val="auto"/>
        <w:rPr>
          <w:rFonts w:hint="eastAsia" w:ascii="Times New Roman" w:hAnsi="Times New Roman" w:eastAsia="仿宋_GB2312" w:cs="仿宋_GB2312"/>
          <w:b w:val="0"/>
          <w:bCs w:val="0"/>
          <w:kern w:val="2"/>
          <w:sz w:val="32"/>
          <w:szCs w:val="32"/>
          <w:highlight w:val="none"/>
          <w:lang w:val="en-US" w:eastAsia="zh-CN" w:bidi="ar-SA"/>
        </w:rPr>
      </w:pPr>
      <w:r>
        <w:rPr>
          <w:rFonts w:hint="eastAsia" w:ascii="Times New Roman" w:hAnsi="Times New Roman" w:eastAsia="仿宋_GB2312" w:cs="仿宋_GB2312"/>
          <w:b w:val="0"/>
          <w:bCs w:val="0"/>
          <w:kern w:val="2"/>
          <w:sz w:val="32"/>
          <w:szCs w:val="32"/>
          <w:highlight w:val="none"/>
          <w:lang w:val="en-US" w:eastAsia="zh-CN" w:bidi="ar-SA"/>
        </w:rPr>
        <w:t>考虑燃气电厂暂未进入中长期市场，若燃气电厂存在气源不足情况，可向调度机构提出省气运行的书面申请，调度机构在保安全、保供应、保供热等前提下，可适当调整开停机顺序。</w:t>
      </w:r>
    </w:p>
    <w:p w14:paraId="4A3742F5">
      <w:pPr>
        <w:keepNext w:val="0"/>
        <w:keepLines w:val="0"/>
        <w:pageBreakBefore w:val="0"/>
        <w:widowControl/>
        <w:numPr>
          <w:ilvl w:val="0"/>
          <w:numId w:val="2"/>
        </w:numPr>
        <w:kinsoku/>
        <w:wordWrap/>
        <w:overflowPunct/>
        <w:topLinePunct w:val="0"/>
        <w:autoSpaceDE/>
        <w:autoSpaceDN/>
        <w:bidi w:val="0"/>
        <w:adjustRightInd/>
        <w:snapToGrid w:val="0"/>
        <w:spacing w:beforeLines="0" w:afterLines="0" w:line="560" w:lineRule="exact"/>
        <w:ind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燃煤机组机组组合确定原则</w:t>
      </w:r>
    </w:p>
    <w:p w14:paraId="429F6BBD">
      <w:pPr>
        <w:keepNext w:val="0"/>
        <w:keepLines w:val="0"/>
        <w:pageBreakBefore w:val="0"/>
        <w:numPr>
          <w:ilvl w:val="0"/>
          <w:numId w:val="5"/>
        </w:numPr>
        <w:kinsoku/>
        <w:wordWrap/>
        <w:overflowPunct/>
        <w:topLinePunct w:val="0"/>
        <w:autoSpaceDE/>
        <w:autoSpaceDN/>
        <w:bidi w:val="0"/>
        <w:adjustRightInd/>
        <w:snapToGrid w:val="0"/>
        <w:spacing w:beforeLines="0" w:afterLines="0" w:line="560" w:lineRule="exact"/>
        <w:ind w:firstLine="640" w:firstLineChars="200"/>
        <w:jc w:val="both"/>
        <w:textAlignment w:val="auto"/>
        <w:rPr>
          <w:rFonts w:hint="eastAsia" w:ascii="Times New Roman" w:hAnsi="Times New Roman" w:eastAsia="仿宋_GB2312" w:cs="仿宋_GB2312"/>
          <w:b w:val="0"/>
          <w:bCs w:val="0"/>
          <w:kern w:val="2"/>
          <w:sz w:val="32"/>
          <w:szCs w:val="32"/>
          <w:highlight w:val="none"/>
          <w:lang w:val="en-US" w:eastAsia="zh-CN" w:bidi="ar-SA"/>
        </w:rPr>
      </w:pPr>
      <w:r>
        <w:rPr>
          <w:rFonts w:hint="eastAsia" w:ascii="Times New Roman" w:hAnsi="Times New Roman" w:eastAsia="仿宋_GB2312" w:cs="仿宋_GB2312"/>
          <w:b w:val="0"/>
          <w:bCs w:val="0"/>
          <w:kern w:val="2"/>
          <w:sz w:val="32"/>
          <w:szCs w:val="32"/>
          <w:highlight w:val="none"/>
          <w:lang w:val="en-US" w:eastAsia="zh-CN" w:bidi="ar-SA"/>
        </w:rPr>
        <w:t>在考虑当月机组检修计划、输变电检修计划约束、环保控煤等要求基础上，燃煤电厂以未来发电负荷率为依据确定开停机顺序。</w:t>
      </w:r>
    </w:p>
    <w:p w14:paraId="0DA7D34B">
      <w:pPr>
        <w:keepNext w:val="0"/>
        <w:keepLines w:val="0"/>
        <w:pageBreakBefore w:val="0"/>
        <w:numPr>
          <w:ilvl w:val="0"/>
          <w:numId w:val="5"/>
        </w:numPr>
        <w:kinsoku/>
        <w:wordWrap/>
        <w:overflowPunct/>
        <w:topLinePunct w:val="0"/>
        <w:autoSpaceDE/>
        <w:autoSpaceDN/>
        <w:bidi w:val="0"/>
        <w:adjustRightInd/>
        <w:snapToGrid w:val="0"/>
        <w:spacing w:beforeLines="0" w:afterLines="0" w:line="560" w:lineRule="exact"/>
        <w:ind w:firstLine="640" w:firstLineChars="200"/>
        <w:jc w:val="both"/>
        <w:textAlignment w:val="auto"/>
        <w:rPr>
          <w:rFonts w:hint="eastAsia" w:ascii="Times New Roman" w:hAnsi="Times New Roman" w:eastAsia="仿宋_GB2312" w:cs="仿宋_GB2312"/>
          <w:b w:val="0"/>
          <w:bCs w:val="0"/>
          <w:kern w:val="2"/>
          <w:sz w:val="32"/>
          <w:szCs w:val="32"/>
          <w:highlight w:val="none"/>
          <w:lang w:val="en-US" w:eastAsia="zh-CN" w:bidi="ar-SA"/>
        </w:rPr>
      </w:pPr>
      <w:r>
        <w:rPr>
          <w:rFonts w:hint="eastAsia" w:ascii="Times New Roman" w:hAnsi="Times New Roman" w:eastAsia="仿宋_GB2312" w:cs="仿宋_GB2312"/>
          <w:b w:val="0"/>
          <w:bCs w:val="0"/>
          <w:kern w:val="2"/>
          <w:sz w:val="32"/>
          <w:szCs w:val="32"/>
          <w:highlight w:val="none"/>
          <w:lang w:val="en-US" w:eastAsia="zh-CN" w:bidi="ar-SA"/>
        </w:rPr>
        <w:t>为保证各机组均衡执行市场化交易电量，电厂的未来发电负荷率计算公式如下：</w:t>
      </w:r>
    </w:p>
    <w:p w14:paraId="4C176682">
      <w:pPr>
        <w:keepNext w:val="0"/>
        <w:keepLines w:val="0"/>
        <w:pageBreakBefore w:val="0"/>
        <w:widowControl/>
        <w:kinsoku/>
        <w:wordWrap/>
        <w:overflowPunct/>
        <w:topLinePunct w:val="0"/>
        <w:autoSpaceDE/>
        <w:autoSpaceDN/>
        <w:bidi w:val="0"/>
        <w:adjustRightInd/>
        <w:snapToGrid w:val="0"/>
        <w:spacing w:beforeLines="0" w:afterLines="0" w:line="560" w:lineRule="exact"/>
        <w:ind w:firstLine="643" w:firstLineChars="0"/>
        <w:textAlignment w:val="auto"/>
        <w:rPr>
          <w:rFonts w:hint="eastAsia" w:ascii="Times New Roman" w:hAnsi="Times New Roman" w:eastAsia="仿宋_GB2312" w:cs="仿宋_GB2312"/>
          <w:b w:val="0"/>
          <w:bCs w:val="0"/>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电厂未来发电负荷率</w:t>
      </w:r>
      <w:r>
        <w:rPr>
          <w:rFonts w:hint="eastAsia" w:ascii="Times New Roman" w:hAnsi="Times New Roman" w:eastAsia="仿宋_GB2312" w:cs="仿宋_GB2312"/>
          <w:b w:val="0"/>
          <w:bCs w:val="0"/>
          <w:color w:val="auto"/>
          <w:sz w:val="32"/>
          <w:szCs w:val="32"/>
          <w:highlight w:val="none"/>
          <w:lang w:val="en-US" w:eastAsia="zh-CN"/>
        </w:rPr>
        <w:t>=（电厂月发电控制目标－电厂月累计已发电量＋电厂省间现货月累计净售电量）÷电厂未来折算容量÷（月剩余天数×24小时）</w:t>
      </w:r>
    </w:p>
    <w:p w14:paraId="0D6E8200">
      <w:pPr>
        <w:keepNext w:val="0"/>
        <w:keepLines w:val="0"/>
        <w:pageBreakBefore w:val="0"/>
        <w:widowControl/>
        <w:kinsoku/>
        <w:wordWrap/>
        <w:overflowPunct/>
        <w:topLinePunct w:val="0"/>
        <w:autoSpaceDE/>
        <w:autoSpaceDN/>
        <w:bidi w:val="0"/>
        <w:adjustRightInd/>
        <w:snapToGrid w:val="0"/>
        <w:spacing w:beforeLines="0" w:afterLines="0" w:line="560" w:lineRule="exact"/>
        <w:ind w:firstLine="643" w:firstLineChars="0"/>
        <w:textAlignment w:val="auto"/>
        <w:rPr>
          <w:rFonts w:hint="eastAsia" w:ascii="Times New Roman" w:hAnsi="Times New Roman" w:eastAsia="仿宋_GB2312" w:cs="仿宋_GB2312"/>
          <w:b w:val="0"/>
          <w:bCs w:val="0"/>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电厂未来折算容量=Σ（电厂装机容量×月剩余天数－电厂必停容量×月剩余必停天数）÷月剩余天数</w:t>
      </w:r>
    </w:p>
    <w:p w14:paraId="09F8B4C0">
      <w:pPr>
        <w:keepNext w:val="0"/>
        <w:keepLines w:val="0"/>
        <w:pageBreakBefore w:val="0"/>
        <w:widowControl/>
        <w:numPr>
          <w:ilvl w:val="-1"/>
          <w:numId w:val="0"/>
        </w:numPr>
        <w:kinsoku/>
        <w:wordWrap/>
        <w:overflowPunct/>
        <w:topLinePunct w:val="0"/>
        <w:autoSpaceDE/>
        <w:autoSpaceDN/>
        <w:bidi w:val="0"/>
        <w:adjustRightInd/>
        <w:snapToGrid w:val="0"/>
        <w:spacing w:beforeLines="0" w:after="0" w:afterLines="0" w:line="560" w:lineRule="exact"/>
        <w:ind w:firstLine="643" w:firstLineChars="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b w:val="0"/>
          <w:bCs w:val="0"/>
          <w:color w:val="auto"/>
          <w:sz w:val="32"/>
          <w:szCs w:val="32"/>
          <w:highlight w:val="none"/>
          <w:lang w:val="en-US" w:eastAsia="zh-CN"/>
        </w:rPr>
        <w:t>其中，煤电机组月发电控制目标为考虑统一执行率机组月累计中长期交易电量；必停包括机组计划检修停机、电网安全约束停机、地方能源政策原因停机等。</w:t>
      </w:r>
    </w:p>
    <w:p w14:paraId="0069AF24">
      <w:pPr>
        <w:keepNext w:val="0"/>
        <w:keepLines w:val="0"/>
        <w:pageBreakBefore w:val="0"/>
        <w:widowControl/>
        <w:numPr>
          <w:ilvl w:val="0"/>
          <w:numId w:val="2"/>
        </w:numPr>
        <w:kinsoku/>
        <w:wordWrap/>
        <w:overflowPunct/>
        <w:topLinePunct w:val="0"/>
        <w:autoSpaceDE/>
        <w:autoSpaceDN/>
        <w:bidi w:val="0"/>
        <w:adjustRightInd/>
        <w:snapToGrid w:val="0"/>
        <w:spacing w:beforeLines="0" w:afterLines="0" w:line="560" w:lineRule="exact"/>
        <w:ind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京津冀电力调峰辅助服务市场运行时段，发电企业按照市场规则参与市场，履行经营主体职责。非市场运行时段，发电企业应充分发挥机组深度调峰能力（供热季需考虑供热能力），在新能源消纳困难时段全力配合调峰促进新能源消纳。</w:t>
      </w:r>
    </w:p>
    <w:p w14:paraId="1C115433">
      <w:pPr>
        <w:keepNext w:val="0"/>
        <w:keepLines w:val="0"/>
        <w:pageBreakBefore w:val="0"/>
        <w:widowControl/>
        <w:numPr>
          <w:ilvl w:val="-1"/>
          <w:numId w:val="0"/>
        </w:numPr>
        <w:kinsoku/>
        <w:wordWrap/>
        <w:overflowPunct/>
        <w:topLinePunct w:val="0"/>
        <w:autoSpaceDE/>
        <w:autoSpaceDN/>
        <w:bidi w:val="0"/>
        <w:adjustRightInd/>
        <w:snapToGrid w:val="0"/>
        <w:spacing w:beforeLines="0" w:afterLines="0" w:line="560" w:lineRule="exact"/>
        <w:ind w:leftChars="200" w:firstLine="0" w:firstLineChars="0"/>
        <w:jc w:val="left"/>
        <w:textAlignment w:val="auto"/>
        <w:rPr>
          <w:rFonts w:hint="eastAsia" w:ascii="Times New Roman" w:hAnsi="Times New Roman" w:eastAsia="仿宋_GB2312" w:cs="仿宋_GB2312"/>
          <w:color w:val="auto"/>
          <w:sz w:val="32"/>
          <w:szCs w:val="32"/>
          <w:highlight w:val="none"/>
          <w:lang w:val="en-US" w:eastAsia="zh-CN"/>
        </w:rPr>
      </w:pPr>
    </w:p>
    <w:p w14:paraId="25CEFF22">
      <w:pPr>
        <w:keepNext w:val="0"/>
        <w:keepLines w:val="0"/>
        <w:pageBreakBefore w:val="0"/>
        <w:widowControl/>
        <w:numPr>
          <w:ilvl w:val="0"/>
          <w:numId w:val="1"/>
        </w:numPr>
        <w:kinsoku/>
        <w:wordWrap/>
        <w:overflowPunct/>
        <w:topLinePunct w:val="0"/>
        <w:autoSpaceDE/>
        <w:autoSpaceDN/>
        <w:bidi w:val="0"/>
        <w:adjustRightInd/>
        <w:snapToGrid w:val="0"/>
        <w:spacing w:before="0" w:beforeLines="0" w:after="0" w:afterLines="0" w:line="560" w:lineRule="exact"/>
        <w:ind w:left="0" w:firstLine="0" w:firstLineChars="0"/>
        <w:jc w:val="center"/>
        <w:textAlignment w:val="auto"/>
        <w:rPr>
          <w:rFonts w:hint="default" w:ascii="Times New Roman" w:hAnsi="Times New Roman" w:eastAsia="黑体" w:cs="Times New Roman"/>
          <w:b/>
          <w:bCs/>
          <w:color w:val="auto"/>
          <w:sz w:val="32"/>
          <w:szCs w:val="32"/>
          <w:highlight w:val="none"/>
        </w:rPr>
      </w:pPr>
      <w:r>
        <w:rPr>
          <w:rFonts w:hint="default" w:ascii="Times New Roman" w:hAnsi="Times New Roman" w:eastAsia="黑体" w:cs="Times New Roman"/>
          <w:b/>
          <w:bCs/>
          <w:color w:val="auto"/>
          <w:sz w:val="32"/>
          <w:szCs w:val="32"/>
          <w:highlight w:val="none"/>
          <w:lang w:val="en-US" w:eastAsia="zh-CN"/>
        </w:rPr>
        <w:t>预</w:t>
      </w:r>
      <w:r>
        <w:rPr>
          <w:rFonts w:hint="default" w:ascii="Times New Roman" w:hAnsi="Times New Roman" w:eastAsia="黑体" w:cs="Times New Roman"/>
          <w:b/>
          <w:bCs/>
          <w:color w:val="auto"/>
          <w:sz w:val="32"/>
          <w:szCs w:val="32"/>
          <w:highlight w:val="none"/>
        </w:rPr>
        <w:t>计划</w:t>
      </w:r>
      <w:r>
        <w:rPr>
          <w:rFonts w:hint="default" w:ascii="Times New Roman" w:hAnsi="Times New Roman" w:eastAsia="黑体" w:cs="Times New Roman"/>
          <w:b/>
          <w:bCs/>
          <w:color w:val="auto"/>
          <w:sz w:val="32"/>
          <w:szCs w:val="32"/>
          <w:highlight w:val="none"/>
          <w:lang w:val="en-US" w:eastAsia="zh-CN"/>
        </w:rPr>
        <w:t>空间分配原则</w:t>
      </w:r>
    </w:p>
    <w:p w14:paraId="733F855A">
      <w:pPr>
        <w:keepNext w:val="0"/>
        <w:keepLines w:val="0"/>
        <w:pageBreakBefore w:val="0"/>
        <w:widowControl/>
        <w:numPr>
          <w:ilvl w:val="0"/>
          <w:numId w:val="2"/>
        </w:numPr>
        <w:kinsoku/>
        <w:wordWrap/>
        <w:overflowPunct/>
        <w:topLinePunct w:val="0"/>
        <w:autoSpaceDE/>
        <w:autoSpaceDN/>
        <w:bidi w:val="0"/>
        <w:adjustRightInd/>
        <w:snapToGrid w:val="0"/>
        <w:spacing w:beforeLines="0" w:afterLines="0" w:line="560" w:lineRule="exact"/>
        <w:ind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bookmarkStart w:id="0" w:name="_Toc285639247"/>
      <w:bookmarkEnd w:id="0"/>
      <w:r>
        <w:rPr>
          <w:rFonts w:hint="default" w:ascii="Times New Roman" w:hAnsi="Times New Roman" w:eastAsia="仿宋_GB2312" w:cs="仿宋_GB2312"/>
          <w:color w:val="auto"/>
          <w:sz w:val="32"/>
          <w:szCs w:val="32"/>
          <w:highlight w:val="none"/>
          <w:lang w:val="en-US" w:eastAsia="zh-CN"/>
        </w:rPr>
        <w:t>预计划编制应统筹考虑机组群发电空间、机组试验计划、中长期市场化交易结果（或优先发电计划）、民生供热、地方能源政策要求、一次能源供应水平、机组发电能力等因素。</w:t>
      </w:r>
    </w:p>
    <w:p w14:paraId="4118D730">
      <w:pPr>
        <w:keepNext w:val="0"/>
        <w:keepLines w:val="0"/>
        <w:pageBreakBefore w:val="0"/>
        <w:widowControl/>
        <w:numPr>
          <w:ilvl w:val="0"/>
          <w:numId w:val="2"/>
        </w:numPr>
        <w:kinsoku/>
        <w:wordWrap/>
        <w:overflowPunct/>
        <w:topLinePunct w:val="0"/>
        <w:autoSpaceDE/>
        <w:autoSpaceDN/>
        <w:bidi w:val="0"/>
        <w:adjustRightInd/>
        <w:snapToGrid w:val="0"/>
        <w:spacing w:beforeLines="0" w:afterLines="0" w:line="560" w:lineRule="exact"/>
        <w:ind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default" w:ascii="Times New Roman" w:hAnsi="Times New Roman" w:eastAsia="仿宋_GB2312" w:cs="仿宋_GB2312"/>
          <w:color w:val="auto"/>
          <w:sz w:val="32"/>
          <w:szCs w:val="32"/>
          <w:highlight w:val="none"/>
          <w:lang w:val="en-US" w:eastAsia="zh-CN"/>
        </w:rPr>
        <w:t>边界报</w:t>
      </w:r>
      <w:r>
        <w:rPr>
          <w:rFonts w:hint="eastAsia" w:ascii="Times New Roman" w:hAnsi="Times New Roman" w:eastAsia="仿宋_GB2312" w:cs="仿宋_GB2312"/>
          <w:color w:val="auto"/>
          <w:sz w:val="32"/>
          <w:szCs w:val="32"/>
          <w:highlight w:val="none"/>
          <w:lang w:val="en-US" w:eastAsia="zh-CN"/>
        </w:rPr>
        <w:t>送原则</w:t>
      </w:r>
    </w:p>
    <w:p w14:paraId="2BF2F299">
      <w:pPr>
        <w:keepNext w:val="0"/>
        <w:keepLines w:val="0"/>
        <w:pageBreakBefore w:val="0"/>
        <w:widowControl/>
        <w:numPr>
          <w:ilvl w:val="0"/>
          <w:numId w:val="6"/>
        </w:numPr>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Times New Roman" w:hAnsi="Times New Roman" w:eastAsia="仿宋_GB2312" w:cs="仿宋_GB2312"/>
          <w:color w:val="auto"/>
          <w:sz w:val="32"/>
          <w:szCs w:val="32"/>
          <w:highlight w:val="none"/>
          <w:lang w:val="en-US" w:eastAsia="zh-CN" w:bidi="ar"/>
        </w:rPr>
      </w:pPr>
      <w:r>
        <w:rPr>
          <w:rFonts w:hint="eastAsia" w:ascii="Times New Roman" w:hAnsi="Times New Roman" w:eastAsia="仿宋_GB2312" w:cs="仿宋_GB2312"/>
          <w:color w:val="auto"/>
          <w:sz w:val="32"/>
          <w:szCs w:val="32"/>
          <w:highlight w:val="none"/>
          <w:lang w:val="en-US" w:eastAsia="zh-CN"/>
        </w:rPr>
        <w:t>按照优先满足中长期</w:t>
      </w:r>
      <w:r>
        <w:rPr>
          <w:rFonts w:hint="eastAsia" w:ascii="Times New Roman" w:hAnsi="Times New Roman" w:eastAsia="仿宋_GB2312" w:cs="仿宋_GB2312"/>
          <w:color w:val="auto"/>
          <w:sz w:val="32"/>
          <w:szCs w:val="32"/>
          <w:highlight w:val="none"/>
        </w:rPr>
        <w:t>交易电量</w:t>
      </w:r>
      <w:r>
        <w:rPr>
          <w:rFonts w:hint="eastAsia" w:ascii="Times New Roman" w:hAnsi="Times New Roman" w:eastAsia="仿宋_GB2312" w:cs="仿宋_GB2312"/>
          <w:color w:val="auto"/>
          <w:sz w:val="32"/>
          <w:szCs w:val="32"/>
          <w:highlight w:val="none"/>
          <w:lang w:val="en-US" w:eastAsia="zh-CN"/>
        </w:rPr>
        <w:t>的原则，</w:t>
      </w:r>
      <w:r>
        <w:rPr>
          <w:rFonts w:hint="eastAsia" w:ascii="Times New Roman" w:hAnsi="Times New Roman" w:eastAsia="仿宋_GB2312" w:cs="仿宋_GB2312"/>
          <w:color w:val="auto"/>
          <w:sz w:val="32"/>
          <w:szCs w:val="32"/>
          <w:highlight w:val="none"/>
          <w:lang w:bidi="ar"/>
        </w:rPr>
        <w:t>当月</w:t>
      </w:r>
      <w:r>
        <w:rPr>
          <w:rFonts w:hint="eastAsia" w:ascii="Times New Roman" w:hAnsi="Times New Roman" w:eastAsia="仿宋_GB2312" w:cs="仿宋_GB2312"/>
          <w:color w:val="auto"/>
          <w:sz w:val="32"/>
          <w:szCs w:val="32"/>
          <w:highlight w:val="none"/>
          <w:lang w:val="en-US" w:eastAsia="zh-CN" w:bidi="ar"/>
        </w:rPr>
        <w:t>未来负荷率</w:t>
      </w:r>
      <w:r>
        <w:rPr>
          <w:rFonts w:hint="eastAsia" w:ascii="Times New Roman" w:hAnsi="Times New Roman" w:eastAsia="仿宋_GB2312" w:cs="仿宋_GB2312"/>
          <w:color w:val="auto"/>
          <w:sz w:val="32"/>
          <w:szCs w:val="32"/>
          <w:highlight w:val="none"/>
          <w:lang w:bidi="ar"/>
        </w:rPr>
        <w:t>高于85%</w:t>
      </w:r>
      <w:r>
        <w:rPr>
          <w:rFonts w:hint="eastAsia" w:ascii="Times New Roman" w:hAnsi="Times New Roman" w:eastAsia="仿宋_GB2312" w:cs="仿宋_GB2312"/>
          <w:color w:val="auto"/>
          <w:sz w:val="32"/>
          <w:szCs w:val="32"/>
          <w:highlight w:val="none"/>
          <w:lang w:val="en-US" w:eastAsia="zh-CN" w:bidi="ar"/>
        </w:rPr>
        <w:t>的发电企业，可通过边界报送的形式将机组预计划设置为其实际最大发电能力。</w:t>
      </w:r>
    </w:p>
    <w:p w14:paraId="4D59EC24">
      <w:pPr>
        <w:keepNext w:val="0"/>
        <w:keepLines w:val="0"/>
        <w:pageBreakBefore w:val="0"/>
        <w:widowControl/>
        <w:numPr>
          <w:ilvl w:val="0"/>
          <w:numId w:val="6"/>
        </w:numPr>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Times New Roman" w:hAnsi="Times New Roman" w:eastAsia="仿宋_GB2312" w:cs="仿宋_GB2312"/>
          <w:color w:val="auto"/>
          <w:sz w:val="32"/>
          <w:szCs w:val="32"/>
          <w:highlight w:val="none"/>
          <w:lang w:val="en-US" w:eastAsia="zh-CN" w:bidi="ar"/>
        </w:rPr>
      </w:pPr>
      <w:r>
        <w:rPr>
          <w:rFonts w:hint="eastAsia" w:ascii="Times New Roman" w:hAnsi="Times New Roman" w:eastAsia="仿宋_GB2312" w:cs="仿宋_GB2312"/>
          <w:color w:val="auto"/>
          <w:sz w:val="32"/>
          <w:szCs w:val="32"/>
          <w:highlight w:val="none"/>
          <w:lang w:val="en-US" w:eastAsia="zh-CN" w:bidi="ar"/>
        </w:rPr>
        <w:t>为保障后续保安全、保供应、保供热发电需求，出现以下情况时，可通过边界报送的形式将机组预计划设置为其申报最小出力：</w:t>
      </w:r>
    </w:p>
    <w:p w14:paraId="19E744C9">
      <w:pPr>
        <w:keepNext w:val="0"/>
        <w:keepLines w:val="0"/>
        <w:pageBreakBefore w:val="0"/>
        <w:widowControl/>
        <w:numPr>
          <w:ilvl w:val="0"/>
          <w:numId w:val="7"/>
        </w:numPr>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Times New Roman" w:hAnsi="Times New Roman" w:eastAsia="仿宋_GB2312" w:cs="仿宋_GB2312"/>
          <w:color w:val="auto"/>
          <w:sz w:val="32"/>
          <w:szCs w:val="32"/>
          <w:highlight w:val="none"/>
          <w:lang w:eastAsia="zh-CN" w:bidi="ar"/>
        </w:rPr>
      </w:pPr>
      <w:r>
        <w:rPr>
          <w:rFonts w:hint="eastAsia" w:ascii="Times New Roman" w:hAnsi="Times New Roman" w:eastAsia="仿宋_GB2312" w:cs="仿宋_GB2312"/>
          <w:color w:val="auto"/>
          <w:sz w:val="32"/>
          <w:szCs w:val="32"/>
          <w:highlight w:val="none"/>
          <w:lang w:val="en-US" w:eastAsia="zh-CN" w:bidi="ar"/>
        </w:rPr>
        <w:t>当燃煤发电企业当月</w:t>
      </w:r>
      <w:r>
        <w:rPr>
          <w:rFonts w:hint="eastAsia" w:ascii="Times New Roman" w:hAnsi="Times New Roman" w:eastAsia="仿宋_GB2312" w:cs="仿宋_GB2312"/>
          <w:color w:val="auto"/>
          <w:sz w:val="32"/>
          <w:szCs w:val="32"/>
          <w:highlight w:val="none"/>
          <w:lang w:bidi="ar"/>
        </w:rPr>
        <w:t>未来负荷率</w:t>
      </w:r>
      <w:r>
        <w:rPr>
          <w:rFonts w:hint="eastAsia" w:ascii="Times New Roman" w:hAnsi="Times New Roman" w:eastAsia="仿宋_GB2312" w:cs="仿宋_GB2312"/>
          <w:color w:val="auto"/>
          <w:sz w:val="32"/>
          <w:szCs w:val="32"/>
          <w:highlight w:val="none"/>
          <w:lang w:val="en-US" w:eastAsia="zh-CN" w:bidi="ar"/>
        </w:rPr>
        <w:t>小于</w:t>
      </w:r>
      <w:r>
        <w:rPr>
          <w:rFonts w:hint="eastAsia" w:ascii="Times New Roman" w:hAnsi="Times New Roman" w:eastAsia="仿宋_GB2312" w:cs="仿宋_GB2312"/>
          <w:color w:val="auto"/>
          <w:sz w:val="32"/>
          <w:szCs w:val="32"/>
          <w:highlight w:val="none"/>
          <w:lang w:bidi="ar"/>
        </w:rPr>
        <w:t>等于</w:t>
      </w:r>
      <w:r>
        <w:rPr>
          <w:rFonts w:hint="eastAsia" w:ascii="Times New Roman" w:hAnsi="Times New Roman" w:eastAsia="仿宋_GB2312" w:cs="仿宋_GB2312"/>
          <w:color w:val="auto"/>
          <w:sz w:val="32"/>
          <w:szCs w:val="32"/>
          <w:highlight w:val="none"/>
          <w:lang w:val="en-US" w:eastAsia="zh-CN" w:bidi="ar"/>
        </w:rPr>
        <w:t>30</w:t>
      </w:r>
      <w:r>
        <w:rPr>
          <w:rFonts w:hint="eastAsia" w:ascii="Times New Roman" w:hAnsi="Times New Roman" w:eastAsia="仿宋_GB2312" w:cs="仿宋_GB2312"/>
          <w:color w:val="auto"/>
          <w:sz w:val="32"/>
          <w:szCs w:val="32"/>
          <w:highlight w:val="none"/>
          <w:lang w:bidi="ar"/>
        </w:rPr>
        <w:t>%</w:t>
      </w:r>
      <w:r>
        <w:rPr>
          <w:rFonts w:hint="eastAsia" w:ascii="Times New Roman" w:hAnsi="Times New Roman" w:eastAsia="仿宋_GB2312" w:cs="仿宋_GB2312"/>
          <w:color w:val="auto"/>
          <w:sz w:val="32"/>
          <w:szCs w:val="32"/>
          <w:highlight w:val="none"/>
          <w:lang w:eastAsia="zh-CN" w:bidi="ar"/>
        </w:rPr>
        <w:t>，</w:t>
      </w:r>
      <w:r>
        <w:rPr>
          <w:rFonts w:hint="eastAsia" w:ascii="Times New Roman" w:hAnsi="Times New Roman" w:eastAsia="仿宋_GB2312" w:cs="仿宋_GB2312"/>
          <w:color w:val="auto"/>
          <w:sz w:val="32"/>
          <w:szCs w:val="32"/>
          <w:highlight w:val="none"/>
          <w:lang w:val="en-US" w:eastAsia="zh-CN" w:bidi="ar"/>
        </w:rPr>
        <w:t>燃气发电企业剩余顶峰次数不满足当月剩余天数时。</w:t>
      </w:r>
    </w:p>
    <w:p w14:paraId="213A3F75">
      <w:pPr>
        <w:keepNext w:val="0"/>
        <w:keepLines w:val="0"/>
        <w:pageBreakBefore w:val="0"/>
        <w:widowControl/>
        <w:numPr>
          <w:ilvl w:val="-1"/>
          <w:numId w:val="0"/>
        </w:numPr>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Times New Roman" w:hAnsi="Times New Roman" w:eastAsia="仿宋_GB2312" w:cs="仿宋_GB2312"/>
          <w:b w:val="0"/>
          <w:bCs w:val="0"/>
          <w:color w:val="auto"/>
          <w:sz w:val="32"/>
          <w:szCs w:val="32"/>
          <w:highlight w:val="none"/>
          <w:lang w:val="en-US" w:eastAsia="zh-CN" w:bidi="ar"/>
        </w:rPr>
      </w:pPr>
      <w:r>
        <w:rPr>
          <w:rFonts w:hint="eastAsia" w:ascii="Times New Roman" w:hAnsi="Times New Roman" w:eastAsia="仿宋_GB2312" w:cs="仿宋_GB2312"/>
          <w:color w:val="auto"/>
          <w:sz w:val="32"/>
          <w:szCs w:val="32"/>
          <w:highlight w:val="none"/>
          <w:lang w:val="en-US" w:eastAsia="zh-CN" w:bidi="ar"/>
        </w:rPr>
        <w:t>燃气剩余顶峰次数</w:t>
      </w:r>
      <w:r>
        <w:rPr>
          <w:rFonts w:hint="eastAsia" w:ascii="Times New Roman" w:hAnsi="Times New Roman" w:eastAsia="仿宋_GB2312" w:cs="仿宋_GB2312"/>
          <w:b w:val="0"/>
          <w:bCs w:val="0"/>
          <w:color w:val="auto"/>
          <w:sz w:val="32"/>
          <w:szCs w:val="32"/>
          <w:highlight w:val="none"/>
          <w:lang w:val="en-US" w:eastAsia="zh-CN" w:bidi="ar"/>
        </w:rPr>
        <w:t>=（电厂月发电控制目标－电厂月累计已发电量＋电厂省间现货月累计净售电量）÷电厂未来折算容量÷顶峰小时数÷顶峰预估负载率</w:t>
      </w:r>
    </w:p>
    <w:p w14:paraId="55709019">
      <w:pPr>
        <w:keepNext w:val="0"/>
        <w:keepLines w:val="0"/>
        <w:pageBreakBefore w:val="0"/>
        <w:widowControl/>
        <w:numPr>
          <w:ilvl w:val="-1"/>
          <w:numId w:val="0"/>
        </w:numPr>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Times New Roman" w:hAnsi="Times New Roman" w:eastAsia="仿宋_GB2312" w:cs="仿宋_GB2312"/>
          <w:b w:val="0"/>
          <w:bCs w:val="0"/>
          <w:color w:val="auto"/>
          <w:sz w:val="32"/>
          <w:szCs w:val="32"/>
          <w:highlight w:val="none"/>
          <w:lang w:val="en-US" w:eastAsia="zh-CN" w:bidi="ar"/>
        </w:rPr>
      </w:pPr>
      <w:r>
        <w:rPr>
          <w:rFonts w:hint="eastAsia" w:ascii="Times New Roman" w:hAnsi="Times New Roman" w:eastAsia="仿宋_GB2312" w:cs="仿宋_GB2312"/>
          <w:b w:val="0"/>
          <w:bCs w:val="0"/>
          <w:color w:val="auto"/>
          <w:sz w:val="32"/>
          <w:szCs w:val="32"/>
          <w:highlight w:val="none"/>
          <w:lang w:val="en-US" w:eastAsia="zh-CN" w:bidi="ar"/>
        </w:rPr>
        <w:t>其中，电厂月发电控制目标为月度优先发电计划，电厂未来折算容量计算公式同第七条，顶峰小时数按8小时计，顶峰预估负载率按60%计。</w:t>
      </w:r>
    </w:p>
    <w:p w14:paraId="1E06AC39">
      <w:pPr>
        <w:keepNext w:val="0"/>
        <w:keepLines w:val="0"/>
        <w:pageBreakBefore w:val="0"/>
        <w:widowControl/>
        <w:numPr>
          <w:ilvl w:val="0"/>
          <w:numId w:val="7"/>
        </w:numPr>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Times New Roman" w:hAnsi="Times New Roman" w:eastAsia="仿宋_GB2312" w:cs="仿宋_GB2312"/>
          <w:color w:val="auto"/>
          <w:sz w:val="32"/>
          <w:szCs w:val="32"/>
          <w:highlight w:val="none"/>
          <w:lang w:val="en-US" w:eastAsia="zh-CN" w:bidi="ar"/>
        </w:rPr>
      </w:pPr>
      <w:r>
        <w:rPr>
          <w:rFonts w:hint="eastAsia" w:ascii="Times New Roman" w:hAnsi="Times New Roman" w:eastAsia="仿宋_GB2312" w:cs="仿宋_GB2312"/>
          <w:color w:val="auto"/>
          <w:sz w:val="32"/>
          <w:szCs w:val="32"/>
          <w:highlight w:val="none"/>
          <w:lang w:val="en-US" w:eastAsia="zh-CN" w:bidi="ar"/>
        </w:rPr>
        <w:t>当剩余电量不满足未来保安全、保供热出力下限所需电量时。</w:t>
      </w:r>
    </w:p>
    <w:p w14:paraId="0163AC09">
      <w:pPr>
        <w:widowControl/>
        <w:numPr>
          <w:ilvl w:val="0"/>
          <w:numId w:val="7"/>
        </w:numPr>
        <w:snapToGrid w:val="0"/>
        <w:spacing w:beforeLines="0" w:afterLines="0" w:line="560" w:lineRule="exact"/>
        <w:ind w:firstLine="640" w:firstLineChars="200"/>
        <w:rPr>
          <w:rFonts w:hint="eastAsia" w:ascii="Times New Roman" w:hAnsi="Times New Roman" w:eastAsia="仿宋_GB2312" w:cs="仿宋_GB2312"/>
          <w:color w:val="auto"/>
          <w:sz w:val="32"/>
          <w:szCs w:val="32"/>
          <w:highlight w:val="none"/>
          <w:lang w:val="en-US" w:eastAsia="zh-CN" w:bidi="ar"/>
        </w:rPr>
      </w:pPr>
      <w:r>
        <w:rPr>
          <w:rFonts w:hint="eastAsia" w:ascii="Times New Roman" w:hAnsi="Times New Roman" w:eastAsia="仿宋_GB2312" w:cs="仿宋_GB2312"/>
          <w:color w:val="auto"/>
          <w:sz w:val="32"/>
          <w:szCs w:val="32"/>
          <w:highlight w:val="none"/>
          <w:lang w:val="en-US" w:eastAsia="zh-CN" w:bidi="ar"/>
        </w:rPr>
        <w:t>燃气机组提出省气运行时。</w:t>
      </w:r>
    </w:p>
    <w:p w14:paraId="5A07B4FF">
      <w:pPr>
        <w:keepNext w:val="0"/>
        <w:keepLines w:val="0"/>
        <w:pageBreakBefore w:val="0"/>
        <w:widowControl/>
        <w:numPr>
          <w:ilvl w:val="0"/>
          <w:numId w:val="2"/>
        </w:numPr>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预计划编制方式：</w:t>
      </w:r>
    </w:p>
    <w:p w14:paraId="5317E43B">
      <w:pPr>
        <w:keepNext w:val="0"/>
        <w:keepLines w:val="0"/>
        <w:pageBreakBefore w:val="0"/>
        <w:widowControl/>
        <w:numPr>
          <w:ilvl w:val="0"/>
          <w:numId w:val="8"/>
        </w:numPr>
        <w:kinsoku/>
        <w:wordWrap/>
        <w:overflowPunct/>
        <w:topLinePunct w:val="0"/>
        <w:autoSpaceDE/>
        <w:autoSpaceDN/>
        <w:bidi w:val="0"/>
        <w:adjustRightInd/>
        <w:snapToGrid w:val="0"/>
        <w:spacing w:beforeLines="0" w:afterLines="0" w:line="560" w:lineRule="exact"/>
        <w:ind w:leftChars="0" w:firstLine="640" w:firstLineChars="200"/>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天津市调将预计划边界报送至华北网调。</w:t>
      </w:r>
    </w:p>
    <w:p w14:paraId="49253A0A">
      <w:pPr>
        <w:keepNext w:val="0"/>
        <w:keepLines w:val="0"/>
        <w:pageBreakBefore w:val="0"/>
        <w:widowControl/>
        <w:numPr>
          <w:ilvl w:val="0"/>
          <w:numId w:val="8"/>
        </w:numPr>
        <w:kinsoku/>
        <w:wordWrap/>
        <w:overflowPunct/>
        <w:topLinePunct w:val="0"/>
        <w:autoSpaceDE/>
        <w:autoSpaceDN/>
        <w:bidi w:val="0"/>
        <w:adjustRightInd/>
        <w:snapToGrid w:val="0"/>
        <w:spacing w:beforeLines="0" w:afterLines="0" w:line="560" w:lineRule="exact"/>
        <w:ind w:leftChars="0" w:firstLine="640" w:firstLineChars="200"/>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天津市调根据确定的机组组合及华北网调下发的天津电网直调机组群发电空间编制各直调机组的预计划。</w:t>
      </w:r>
    </w:p>
    <w:p w14:paraId="50CF3FA7">
      <w:pPr>
        <w:keepNext w:val="0"/>
        <w:keepLines w:val="0"/>
        <w:pageBreakBefore w:val="0"/>
        <w:widowControl/>
        <w:numPr>
          <w:ilvl w:val="0"/>
          <w:numId w:val="8"/>
        </w:numPr>
        <w:kinsoku/>
        <w:wordWrap/>
        <w:overflowPunct/>
        <w:topLinePunct w:val="0"/>
        <w:autoSpaceDE/>
        <w:autoSpaceDN/>
        <w:bidi w:val="0"/>
        <w:adjustRightInd/>
        <w:snapToGrid w:val="0"/>
        <w:spacing w:beforeLines="0" w:afterLines="0" w:line="560" w:lineRule="exact"/>
        <w:ind w:leftChars="0" w:firstLine="640" w:firstLineChars="200"/>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各直调电厂内机组按“开机容量×电厂未来发电负荷率”比例分配发电空间，各机组发电空间不超过该机组发电能力范围。</w:t>
      </w:r>
    </w:p>
    <w:p w14:paraId="04208B83">
      <w:pPr>
        <w:keepNext w:val="0"/>
        <w:keepLines w:val="0"/>
        <w:pageBreakBefore w:val="0"/>
        <w:widowControl/>
        <w:numPr>
          <w:ilvl w:val="0"/>
          <w:numId w:val="8"/>
        </w:numPr>
        <w:kinsoku/>
        <w:wordWrap/>
        <w:overflowPunct/>
        <w:topLinePunct w:val="0"/>
        <w:autoSpaceDE/>
        <w:autoSpaceDN/>
        <w:bidi w:val="0"/>
        <w:adjustRightInd/>
        <w:snapToGrid w:val="0"/>
        <w:spacing w:beforeLines="0" w:afterLines="0" w:line="560" w:lineRule="exact"/>
        <w:ind w:leftChars="0" w:firstLine="640" w:firstLineChars="200"/>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若华北网调因电力平衡、电网安全等原因对预计划边界进行调整，天津市调以满足华北网调下发的总发电空间为目标，对各机组发电空间进行调整。</w:t>
      </w:r>
    </w:p>
    <w:p w14:paraId="2D20E3B7">
      <w:pPr>
        <w:keepNext w:val="0"/>
        <w:keepLines w:val="0"/>
        <w:pageBreakBefore w:val="0"/>
        <w:widowControl/>
        <w:numPr>
          <w:ilvl w:val="0"/>
          <w:numId w:val="2"/>
        </w:numPr>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Times New Roman" w:hAnsi="Times New Roman" w:eastAsia="仿宋_GB2312" w:cs="仿宋_GB2312"/>
          <w:sz w:val="32"/>
          <w:szCs w:val="32"/>
          <w:highlight w:val="none"/>
          <w:lang w:val="en-US" w:eastAsia="zh-CN"/>
        </w:rPr>
      </w:pPr>
      <w:r>
        <w:rPr>
          <w:rFonts w:hint="eastAsia" w:ascii="Times New Roman" w:hAnsi="Times New Roman" w:eastAsia="仿宋_GB2312" w:cs="仿宋_GB2312"/>
          <w:sz w:val="32"/>
          <w:szCs w:val="32"/>
          <w:highlight w:val="none"/>
          <w:lang w:val="en-US" w:eastAsia="zh-CN"/>
        </w:rPr>
        <w:t>日内计划参照《京津唐控制区火电机组日内调度运行管理规定（试行）》执行。京津冀电力调峰辅助服务市场运行时段，日前发电计划编制和安全校核按照相关市场规则执行。</w:t>
      </w:r>
    </w:p>
    <w:p w14:paraId="2B2AA368">
      <w:pPr>
        <w:keepNext w:val="0"/>
        <w:keepLines w:val="0"/>
        <w:pageBreakBefore w:val="0"/>
        <w:widowControl w:val="0"/>
        <w:tabs>
          <w:tab w:val="left" w:pos="1843"/>
          <w:tab w:val="left" w:pos="2127"/>
          <w:tab w:val="left" w:pos="7236"/>
        </w:tabs>
        <w:kinsoku/>
        <w:wordWrap/>
        <w:overflowPunct/>
        <w:topLinePunct w:val="0"/>
        <w:autoSpaceDE/>
        <w:autoSpaceDN/>
        <w:bidi w:val="0"/>
        <w:adjustRightInd w:val="0"/>
        <w:snapToGrid/>
        <w:spacing w:line="560" w:lineRule="exact"/>
        <w:ind w:firstLine="2272" w:firstLineChars="710"/>
        <w:jc w:val="both"/>
        <w:textAlignment w:val="auto"/>
        <w:rPr>
          <w:rFonts w:hint="default" w:ascii="Times New Roman" w:hAnsi="Times New Roman" w:eastAsia="仿宋_GB2312" w:cs="仿宋_GB2312"/>
          <w:kern w:val="2"/>
          <w:sz w:val="32"/>
          <w:szCs w:val="32"/>
          <w:lang w:val="en-US" w:eastAsia="zh-CN" w:bidi="ar-SA"/>
        </w:rPr>
      </w:pPr>
    </w:p>
    <w:p w14:paraId="50DBEDB5"/>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方正小标宋_GBK">
    <w:altName w:val="微软雅黑"/>
    <w:panose1 w:val="02000000000000000000"/>
    <w:charset w:val="86"/>
    <w:family w:val="script"/>
    <w:pitch w:val="default"/>
    <w:sig w:usb0="00000000" w:usb1="00000000" w:usb2="00082016" w:usb3="00000000" w:csb0="00040001"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8E2AED"/>
    <w:multiLevelType w:val="singleLevel"/>
    <w:tmpl w:val="9A8E2AED"/>
    <w:lvl w:ilvl="0" w:tentative="0">
      <w:start w:val="1"/>
      <w:numFmt w:val="chineseCounting"/>
      <w:suff w:val="nothing"/>
      <w:lvlText w:val="（%1）"/>
      <w:lvlJc w:val="left"/>
      <w:rPr>
        <w:rFonts w:hint="eastAsia" w:ascii="仿宋_GB2312" w:hAnsi="仿宋_GB2312" w:eastAsia="仿宋_GB2312" w:cs="仿宋_GB2312"/>
      </w:rPr>
    </w:lvl>
  </w:abstractNum>
  <w:abstractNum w:abstractNumId="1">
    <w:nsid w:val="AB9AF6DC"/>
    <w:multiLevelType w:val="singleLevel"/>
    <w:tmpl w:val="AB9AF6DC"/>
    <w:lvl w:ilvl="0" w:tentative="0">
      <w:start w:val="1"/>
      <w:numFmt w:val="chineseCounting"/>
      <w:suff w:val="nothing"/>
      <w:lvlText w:val="（%1）"/>
      <w:lvlJc w:val="left"/>
      <w:rPr>
        <w:rFonts w:hint="eastAsia"/>
      </w:rPr>
    </w:lvl>
  </w:abstractNum>
  <w:abstractNum w:abstractNumId="2">
    <w:nsid w:val="C3737689"/>
    <w:multiLevelType w:val="singleLevel"/>
    <w:tmpl w:val="C3737689"/>
    <w:lvl w:ilvl="0" w:tentative="0">
      <w:start w:val="1"/>
      <w:numFmt w:val="decimal"/>
      <w:suff w:val="nothing"/>
      <w:lvlText w:val="（%1）"/>
      <w:lvlJc w:val="left"/>
    </w:lvl>
  </w:abstractNum>
  <w:abstractNum w:abstractNumId="3">
    <w:nsid w:val="F4F4A51F"/>
    <w:multiLevelType w:val="singleLevel"/>
    <w:tmpl w:val="F4F4A51F"/>
    <w:lvl w:ilvl="0" w:tentative="0">
      <w:start w:val="1"/>
      <w:numFmt w:val="chineseCounting"/>
      <w:suff w:val="nothing"/>
      <w:lvlText w:val="（%1）"/>
      <w:lvlJc w:val="left"/>
      <w:rPr>
        <w:rFonts w:hint="eastAsia"/>
      </w:rPr>
    </w:lvl>
  </w:abstractNum>
  <w:abstractNum w:abstractNumId="4">
    <w:nsid w:val="08A588D7"/>
    <w:multiLevelType w:val="singleLevel"/>
    <w:tmpl w:val="08A588D7"/>
    <w:lvl w:ilvl="0" w:tentative="0">
      <w:start w:val="1"/>
      <w:numFmt w:val="chineseCounting"/>
      <w:suff w:val="nothing"/>
      <w:lvlText w:val="（%1）"/>
      <w:lvlJc w:val="left"/>
      <w:rPr>
        <w:rFonts w:hint="eastAsia"/>
      </w:rPr>
    </w:lvl>
  </w:abstractNum>
  <w:abstractNum w:abstractNumId="5">
    <w:nsid w:val="0BA67FCB"/>
    <w:multiLevelType w:val="multilevel"/>
    <w:tmpl w:val="0BA67FCB"/>
    <w:lvl w:ilvl="0" w:tentative="0">
      <w:start w:val="1"/>
      <w:numFmt w:val="chineseCounting"/>
      <w:suff w:val="space"/>
      <w:lvlText w:val="第%1章"/>
      <w:lvlJc w:val="left"/>
      <w:pPr>
        <w:ind w:left="0" w:firstLine="0"/>
      </w:pPr>
      <w:rPr>
        <w:rFonts w:hint="eastAsia" w:ascii="宋体" w:hAnsi="宋体" w:eastAsia="黑体"/>
        <w:b/>
        <w:bCs/>
        <w:lang w:val="en-US"/>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37376DFD"/>
    <w:multiLevelType w:val="singleLevel"/>
    <w:tmpl w:val="37376DFD"/>
    <w:lvl w:ilvl="0" w:tentative="0">
      <w:start w:val="1"/>
      <w:numFmt w:val="chineseCounting"/>
      <w:suff w:val="nothing"/>
      <w:lvlText w:val="（%1）"/>
      <w:lvlJc w:val="left"/>
      <w:rPr>
        <w:rFonts w:hint="eastAsia"/>
      </w:rPr>
    </w:lvl>
  </w:abstractNum>
  <w:abstractNum w:abstractNumId="7">
    <w:nsid w:val="3D971093"/>
    <w:multiLevelType w:val="multilevel"/>
    <w:tmpl w:val="3D971093"/>
    <w:lvl w:ilvl="0" w:tentative="0">
      <w:start w:val="1"/>
      <w:numFmt w:val="chineseCounting"/>
      <w:suff w:val="space"/>
      <w:lvlText w:val="第%1条"/>
      <w:lvlJc w:val="left"/>
      <w:pPr>
        <w:ind w:left="0" w:firstLine="0"/>
      </w:pPr>
      <w:rPr>
        <w:rFonts w:hint="eastAsia" w:ascii="仿宋_GB2312" w:hAnsi="仿宋_GB2312" w:eastAsia="仿宋_GB2312" w:cs="仿宋_GB2312"/>
        <w:b/>
        <w:bCs/>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0"/>
  </w:num>
  <w:num w:numId="4">
    <w:abstractNumId w:val="6"/>
  </w:num>
  <w:num w:numId="5">
    <w:abstractNumId w:val="4"/>
  </w:num>
  <w:num w:numId="6">
    <w:abstractNumId w:val="3"/>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6D5425"/>
    <w:rsid w:val="4D241A1C"/>
    <w:rsid w:val="586D54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4"/>
    <w:qFormat/>
    <w:uiPriority w:val="0"/>
    <w:pPr>
      <w:spacing w:after="40" w:line="360" w:lineRule="auto"/>
      <w:ind w:firstLine="420" w:firstLineChars="200"/>
    </w:pPr>
    <w:rPr>
      <w:rFonts w:ascii="Calibri" w:hAnsi="Calibri" w:eastAsia="宋体"/>
      <w:sz w:val="24"/>
    </w:rPr>
  </w:style>
  <w:style w:type="paragraph" w:styleId="3">
    <w:name w:val="Body Text Indent"/>
    <w:basedOn w:val="1"/>
    <w:qFormat/>
    <w:uiPriority w:val="0"/>
    <w:pPr>
      <w:snapToGrid w:val="0"/>
      <w:spacing w:line="300" w:lineRule="auto"/>
      <w:ind w:firstLine="720"/>
    </w:pPr>
    <w:rPr>
      <w:rFonts w:eastAsia="楷体_GB2312"/>
      <w:sz w:val="30"/>
      <w:szCs w:val="20"/>
    </w:rPr>
  </w:style>
  <w:style w:type="paragraph" w:styleId="4">
    <w:name w:val="Body Text"/>
    <w:basedOn w:val="1"/>
    <w:next w:val="1"/>
    <w:qFormat/>
    <w:uiPriority w:val="0"/>
    <w:rPr>
      <w:rFonts w:ascii="Times New Roman" w:hAnsi="Times New Roman" w:eastAsia="宋体" w:cs="Times New Roman"/>
      <w:lang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2026-09-30T10:11:00Z</dcterms:created>
  <dc:creator>英雄的黎明</dc:creator>
  <cp:lastModifiedBy>英雄的黎明</cp:lastModifiedBy>
  <dcterms:modified xsi:type="dcterms:W3CDTF">2026-09-30T10:13:44Z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72F3ECB15D2144B6B1FEB2B655067EC5_11</vt:lpwstr>
  </property>
  <property fmtid="{D5CDD505-2E9C-101B-9397-08002B2CF9AE}" pid="4" name="KSOTemplateDocerSaveRecord">
    <vt:lpwstr>eyJoZGlkIjoiNjUwMjRhZTU5OGRkNzhkMDM1ZjFhMzU1OGYzNDA5NTIiLCJ1c2VySWQiOiIzODc1NzcxNzEifQ==</vt:lpwstr>
  </property>
</Properties>
</file>