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7601D9">
      <w:pPr>
        <w:pStyle w:val="4"/>
        <w:spacing w:beforeLines="0" w:afterLines="0" w:line="560" w:lineRule="exac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lang w:val="en-US" w:eastAsia="zh-CN"/>
        </w:rPr>
        <w:t>附件1</w:t>
      </w:r>
    </w:p>
    <w:p w14:paraId="36A98652">
      <w:pPr>
        <w:spacing w:beforeLines="0" w:afterLines="0" w:line="560" w:lineRule="exact"/>
        <w:rPr>
          <w:rFonts w:hint="default" w:ascii="Times New Roman" w:hAnsi="Times New Roman" w:cs="Times New Roman"/>
          <w:highlight w:val="none"/>
        </w:rPr>
      </w:pPr>
    </w:p>
    <w:p w14:paraId="2D6AB2EB">
      <w:pPr>
        <w:pStyle w:val="8"/>
        <w:keepNext w:val="0"/>
        <w:keepLines w:val="0"/>
        <w:pageBreakBefore w:val="0"/>
        <w:widowControl w:val="0"/>
        <w:kinsoku/>
        <w:wordWrap/>
        <w:overflowPunct/>
        <w:topLinePunct w:val="0"/>
        <w:autoSpaceDE/>
        <w:autoSpaceDN/>
        <w:bidi w:val="0"/>
        <w:snapToGrid w:val="0"/>
        <w:spacing w:beforeLines="0" w:afterLines="0" w:line="560" w:lineRule="exact"/>
        <w:jc w:val="center"/>
        <w:textAlignment w:val="auto"/>
        <w:rPr>
          <w:rFonts w:hint="default" w:ascii="Times New Roman" w:hAnsi="Times New Roman" w:eastAsia="方正小标宋简体" w:cs="Times New Roman"/>
          <w:kern w:val="2"/>
          <w:sz w:val="44"/>
          <w:szCs w:val="44"/>
          <w:highlight w:val="none"/>
        </w:rPr>
      </w:pPr>
      <w:r>
        <w:rPr>
          <w:rFonts w:hint="default" w:ascii="Times New Roman" w:hAnsi="Times New Roman" w:eastAsia="方正小标宋简体" w:cs="Times New Roman"/>
          <w:kern w:val="2"/>
          <w:sz w:val="44"/>
          <w:szCs w:val="44"/>
          <w:highlight w:val="none"/>
        </w:rPr>
        <w:t>天津</w:t>
      </w:r>
      <w:r>
        <w:rPr>
          <w:rFonts w:hint="default" w:ascii="Times New Roman" w:hAnsi="Times New Roman" w:eastAsia="方正小标宋简体" w:cs="Times New Roman"/>
          <w:kern w:val="2"/>
          <w:sz w:val="44"/>
          <w:szCs w:val="44"/>
          <w:highlight w:val="none"/>
          <w:lang w:val="en-US" w:eastAsia="zh-CN"/>
        </w:rPr>
        <w:t>市</w:t>
      </w:r>
      <w:r>
        <w:rPr>
          <w:rFonts w:hint="default" w:ascii="Times New Roman" w:hAnsi="Times New Roman" w:eastAsia="方正小标宋简体" w:cs="Times New Roman"/>
          <w:kern w:val="2"/>
          <w:sz w:val="44"/>
          <w:szCs w:val="44"/>
          <w:highlight w:val="none"/>
        </w:rPr>
        <w:t>参与省间电力现货交易工作方案</w:t>
      </w:r>
    </w:p>
    <w:p w14:paraId="64F656F3">
      <w:pPr>
        <w:pStyle w:val="8"/>
        <w:keepNext w:val="0"/>
        <w:keepLines w:val="0"/>
        <w:pageBreakBefore w:val="0"/>
        <w:widowControl w:val="0"/>
        <w:kinsoku/>
        <w:wordWrap/>
        <w:overflowPunct/>
        <w:topLinePunct w:val="0"/>
        <w:autoSpaceDE/>
        <w:autoSpaceDN/>
        <w:bidi w:val="0"/>
        <w:snapToGrid w:val="0"/>
        <w:spacing w:beforeLines="0" w:afterLines="0" w:line="560" w:lineRule="exact"/>
        <w:ind w:firstLine="640" w:firstLineChars="200"/>
        <w:textAlignment w:val="auto"/>
        <w:rPr>
          <w:rFonts w:hint="default" w:ascii="Times New Roman" w:hAnsi="Times New Roman" w:eastAsia="方正仿宋_GBK" w:cs="Times New Roman"/>
          <w:kern w:val="2"/>
          <w:sz w:val="32"/>
          <w:szCs w:val="32"/>
          <w:highlight w:val="none"/>
        </w:rPr>
      </w:pPr>
    </w:p>
    <w:p w14:paraId="33201236">
      <w:pPr>
        <w:keepNext w:val="0"/>
        <w:keepLines w:val="0"/>
        <w:pageBreakBefore w:val="0"/>
        <w:widowControl w:val="0"/>
        <w:tabs>
          <w:tab w:val="left" w:pos="1704"/>
        </w:tabs>
        <w:kinsoku/>
        <w:wordWrap/>
        <w:overflowPunct/>
        <w:topLinePunct w:val="0"/>
        <w:autoSpaceDE/>
        <w:autoSpaceDN/>
        <w:bidi w:val="0"/>
        <w:adjustRightInd w:val="0"/>
        <w:snapToGrid w:val="0"/>
        <w:spacing w:beforeLines="0" w:afterLines="0" w:line="560" w:lineRule="exact"/>
        <w:jc w:val="center"/>
        <w:textAlignment w:val="auto"/>
        <w:rPr>
          <w:rFonts w:hint="default" w:ascii="Times New Roman" w:hAnsi="Times New Roman" w:eastAsia="黑体" w:cs="Times New Roman"/>
          <w:sz w:val="32"/>
          <w:szCs w:val="32"/>
          <w:highlight w:val="none"/>
          <w:lang w:bidi="ar"/>
        </w:rPr>
      </w:pPr>
      <w:r>
        <w:rPr>
          <w:rFonts w:hint="default" w:ascii="Times New Roman" w:hAnsi="Times New Roman" w:eastAsia="黑体" w:cs="Times New Roman"/>
          <w:sz w:val="32"/>
          <w:szCs w:val="32"/>
          <w:highlight w:val="none"/>
          <w:lang w:bidi="ar"/>
        </w:rPr>
        <w:t>第一章 总则</w:t>
      </w:r>
    </w:p>
    <w:p w14:paraId="24BA2833">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left="0" w:firstLine="640" w:firstLineChars="200"/>
        <w:textAlignment w:val="auto"/>
        <w:rPr>
          <w:rFonts w:hint="eastAsia" w:ascii="Times New Roman" w:hAnsi="Times New Roman" w:eastAsia="仿宋_GB2312" w:cs="仿宋_GB2312"/>
          <w:sz w:val="32"/>
          <w:szCs w:val="32"/>
          <w:highlight w:val="none"/>
        </w:rPr>
      </w:pPr>
      <w:r>
        <w:rPr>
          <w:rFonts w:hint="eastAsia" w:ascii="Times New Roman" w:hAnsi="Times New Roman" w:eastAsia="仿宋_GB2312" w:cs="仿宋_GB2312"/>
          <w:sz w:val="32"/>
          <w:szCs w:val="32"/>
          <w:highlight w:val="none"/>
          <w:lang w:bidi="ar"/>
        </w:rPr>
        <w:t>为发挥省间电力现货交易优化资源配置的作用，促进电力资源在更大范围内优化配置，保障本地可再生能源消纳，助力构建以新能</w:t>
      </w:r>
      <w:bookmarkStart w:id="2" w:name="_GoBack"/>
      <w:bookmarkEnd w:id="2"/>
      <w:r>
        <w:rPr>
          <w:rFonts w:hint="eastAsia" w:ascii="Times New Roman" w:hAnsi="Times New Roman" w:eastAsia="仿宋_GB2312" w:cs="仿宋_GB2312"/>
          <w:sz w:val="32"/>
          <w:szCs w:val="32"/>
          <w:highlight w:val="none"/>
          <w:lang w:bidi="ar"/>
        </w:rPr>
        <w:t>源为主体的新型电力系统，在保障天津电网安全稳定运行的前提下，制定本工作方案，以天津市为节点参与省间现货市场。天津市工业和信息化局负责天津市省间电力现货交易相关政策的制定</w:t>
      </w:r>
      <w:r>
        <w:rPr>
          <w:rFonts w:hint="eastAsia" w:ascii="Times New Roman" w:hAnsi="Times New Roman" w:eastAsia="仿宋_GB2312" w:cs="仿宋_GB2312"/>
          <w:sz w:val="32"/>
          <w:szCs w:val="32"/>
          <w:highlight w:val="none"/>
          <w:lang w:val="en-US" w:eastAsia="zh-CN" w:bidi="ar"/>
        </w:rPr>
        <w:t>，</w:t>
      </w:r>
      <w:r>
        <w:rPr>
          <w:rFonts w:hint="eastAsia" w:ascii="Times New Roman" w:hAnsi="Times New Roman" w:eastAsia="仿宋_GB2312" w:cs="仿宋_GB2312"/>
          <w:sz w:val="32"/>
          <w:szCs w:val="32"/>
          <w:highlight w:val="none"/>
          <w:lang w:bidi="ar"/>
        </w:rPr>
        <w:t>国网天津市电力公司、天津电力交易中心有限公司负责组织实施。</w:t>
      </w:r>
    </w:p>
    <w:p w14:paraId="6D53E150">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60" w:lineRule="exact"/>
        <w:ind w:left="420" w:leftChars="200" w:firstLine="0" w:firstLineChars="0"/>
        <w:textAlignment w:val="auto"/>
        <w:rPr>
          <w:rFonts w:hint="eastAsia" w:ascii="Times New Roman" w:hAnsi="Times New Roman" w:eastAsia="仿宋_GB2312" w:cs="仿宋_GB2312"/>
          <w:sz w:val="32"/>
          <w:szCs w:val="32"/>
          <w:highlight w:val="none"/>
        </w:rPr>
      </w:pPr>
    </w:p>
    <w:p w14:paraId="445D1F1F">
      <w:pPr>
        <w:keepNext w:val="0"/>
        <w:keepLines w:val="0"/>
        <w:pageBreakBefore w:val="0"/>
        <w:widowControl w:val="0"/>
        <w:tabs>
          <w:tab w:val="left" w:pos="1704"/>
        </w:tabs>
        <w:kinsoku/>
        <w:wordWrap/>
        <w:overflowPunct/>
        <w:topLinePunct w:val="0"/>
        <w:autoSpaceDE/>
        <w:autoSpaceDN/>
        <w:bidi w:val="0"/>
        <w:adjustRightInd w:val="0"/>
        <w:snapToGrid w:val="0"/>
        <w:spacing w:beforeLines="0" w:afterLines="0" w:line="560" w:lineRule="exact"/>
        <w:jc w:val="center"/>
        <w:textAlignment w:val="auto"/>
        <w:rPr>
          <w:rFonts w:hint="default" w:ascii="Times New Roman" w:hAnsi="Times New Roman" w:eastAsia="黑体" w:cs="Times New Roman"/>
          <w:sz w:val="32"/>
          <w:szCs w:val="32"/>
          <w:highlight w:val="none"/>
          <w:lang w:eastAsia="zh-CN" w:bidi="ar"/>
        </w:rPr>
      </w:pPr>
      <w:r>
        <w:rPr>
          <w:rFonts w:hint="default" w:ascii="Times New Roman" w:hAnsi="Times New Roman" w:eastAsia="黑体" w:cs="Times New Roman"/>
          <w:sz w:val="32"/>
          <w:szCs w:val="32"/>
          <w:highlight w:val="none"/>
          <w:lang w:bidi="ar"/>
        </w:rPr>
        <w:t>第二章 市场准入与退出</w:t>
      </w:r>
    </w:p>
    <w:p w14:paraId="3F56C72D">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left="0" w:firstLine="640" w:firstLineChars="200"/>
        <w:textAlignment w:val="auto"/>
        <w:rPr>
          <w:rFonts w:hint="default" w:ascii="Times New Roman" w:hAnsi="Times New Roman" w:eastAsia="仿宋_GB2312" w:cs="仿宋_GB2312"/>
          <w:sz w:val="32"/>
          <w:szCs w:val="32"/>
          <w:highlight w:val="none"/>
          <w:lang w:bidi="ar"/>
        </w:rPr>
      </w:pPr>
      <w:r>
        <w:rPr>
          <w:rFonts w:hint="default" w:ascii="Times New Roman" w:hAnsi="Times New Roman" w:eastAsia="仿宋_GB2312" w:cs="仿宋_GB2312"/>
          <w:sz w:val="32"/>
          <w:szCs w:val="32"/>
          <w:highlight w:val="none"/>
          <w:lang w:bidi="ar"/>
        </w:rPr>
        <w:t>市场成员包括经营主体、电网企业和市场运营机构，其中经营主体包括发电企业、售电公司、电力用户、新型经营主体。符合准入条件的发电企业直接参与省间电力现货交易，暂未直接参与省间电力现货交易的电力用户由电网企业代理参与省间电力现货交易，逐步推动其他符合条件的经营主体</w:t>
      </w:r>
      <w:r>
        <w:rPr>
          <w:rFonts w:hint="default" w:ascii="Times New Roman" w:hAnsi="Times New Roman" w:eastAsia="仿宋_GB2312" w:cs="仿宋_GB2312"/>
          <w:sz w:val="32"/>
          <w:szCs w:val="32"/>
          <w:highlight w:val="none"/>
          <w:lang w:eastAsia="zh-CN" w:bidi="ar"/>
        </w:rPr>
        <w:t>直接</w:t>
      </w:r>
      <w:r>
        <w:rPr>
          <w:rFonts w:hint="default" w:ascii="Times New Roman" w:hAnsi="Times New Roman" w:eastAsia="仿宋_GB2312" w:cs="仿宋_GB2312"/>
          <w:sz w:val="32"/>
          <w:szCs w:val="32"/>
          <w:highlight w:val="none"/>
          <w:lang w:bidi="ar"/>
        </w:rPr>
        <w:t>参与省间电力现货交易。</w:t>
      </w:r>
    </w:p>
    <w:p w14:paraId="51861C6C">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left="0" w:firstLine="640" w:firstLineChars="200"/>
        <w:textAlignment w:val="auto"/>
        <w:rPr>
          <w:rFonts w:hint="default" w:ascii="Times New Roman" w:hAnsi="Times New Roman" w:eastAsia="仿宋_GB2312" w:cs="仿宋_GB2312"/>
          <w:sz w:val="32"/>
          <w:szCs w:val="32"/>
          <w:highlight w:val="none"/>
          <w:lang w:bidi="ar"/>
        </w:rPr>
      </w:pPr>
      <w:r>
        <w:rPr>
          <w:rFonts w:hint="default" w:ascii="Times New Roman" w:hAnsi="Times New Roman" w:eastAsia="仿宋_GB2312" w:cs="仿宋_GB2312"/>
          <w:sz w:val="32"/>
          <w:szCs w:val="32"/>
          <w:highlight w:val="none"/>
          <w:lang w:bidi="ar"/>
        </w:rPr>
        <w:t>天津电力交易中心负责天津地区省间电力现货交易经营主体注册、信息变更和市场注销等业务办理及服务工作。</w:t>
      </w:r>
    </w:p>
    <w:p w14:paraId="5B006DEB">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left="0" w:firstLine="640" w:firstLineChars="200"/>
        <w:textAlignment w:val="auto"/>
        <w:rPr>
          <w:rFonts w:hint="eastAsia" w:ascii="Times New Roman" w:hAnsi="Times New Roman" w:eastAsia="仿宋_GB2312" w:cs="仿宋_GB2312"/>
          <w:sz w:val="32"/>
          <w:szCs w:val="32"/>
          <w:highlight w:val="none"/>
          <w:lang w:bidi="ar"/>
        </w:rPr>
      </w:pPr>
      <w:r>
        <w:rPr>
          <w:rFonts w:hint="eastAsia" w:ascii="Times New Roman" w:hAnsi="Times New Roman" w:eastAsia="仿宋_GB2312" w:cs="仿宋_GB2312"/>
          <w:sz w:val="32"/>
          <w:szCs w:val="32"/>
          <w:highlight w:val="none"/>
          <w:lang w:bidi="ar"/>
        </w:rPr>
        <w:t>准入条件</w:t>
      </w:r>
      <w:r>
        <w:rPr>
          <w:rFonts w:hint="eastAsia" w:ascii="Times New Roman" w:hAnsi="Times New Roman" w:eastAsia="仿宋_GB2312" w:cs="仿宋_GB2312"/>
          <w:sz w:val="32"/>
          <w:szCs w:val="32"/>
          <w:highlight w:val="none"/>
          <w:lang w:eastAsia="zh-CN" w:bidi="ar"/>
        </w:rPr>
        <w:t>：</w:t>
      </w:r>
    </w:p>
    <w:p w14:paraId="4C65671C">
      <w:pPr>
        <w:pStyle w:val="5"/>
        <w:keepNext w:val="0"/>
        <w:keepLines w:val="0"/>
        <w:pageBreakBefore w:val="0"/>
        <w:widowControl w:val="0"/>
        <w:numPr>
          <w:ilvl w:val="0"/>
          <w:numId w:val="2"/>
        </w:numPr>
        <w:kinsoku/>
        <w:wordWrap/>
        <w:overflowPunct/>
        <w:topLinePunct w:val="0"/>
        <w:autoSpaceDE/>
        <w:autoSpaceDN/>
        <w:bidi w:val="0"/>
        <w:adjustRightInd/>
        <w:snapToGrid/>
        <w:spacing w:before="0" w:beforeLines="0" w:beforeAutospacing="0" w:after="0" w:afterLines="0" w:afterAutospacing="0" w:line="560" w:lineRule="exact"/>
        <w:ind w:firstLine="640" w:firstLineChars="200"/>
        <w:textAlignment w:val="auto"/>
        <w:rPr>
          <w:rFonts w:hint="eastAsia" w:ascii="Times New Roman" w:hAnsi="Times New Roman" w:eastAsia="仿宋_GB2312" w:cs="仿宋_GB2312"/>
          <w:sz w:val="32"/>
          <w:szCs w:val="40"/>
          <w:highlight w:val="none"/>
          <w:lang w:bidi="ar"/>
        </w:rPr>
      </w:pPr>
      <w:r>
        <w:rPr>
          <w:rFonts w:hint="eastAsia" w:ascii="Times New Roman" w:hAnsi="Times New Roman" w:eastAsia="仿宋_GB2312" w:cs="仿宋_GB2312"/>
          <w:sz w:val="32"/>
          <w:szCs w:val="40"/>
          <w:highlight w:val="none"/>
          <w:lang w:bidi="ar"/>
        </w:rPr>
        <w:t>经营主体须在电力交易机构完成市场注册，并具备电量分时计量条件。</w:t>
      </w:r>
    </w:p>
    <w:p w14:paraId="7B4432DC">
      <w:pPr>
        <w:pStyle w:val="5"/>
        <w:keepNext w:val="0"/>
        <w:keepLines w:val="0"/>
        <w:pageBreakBefore w:val="0"/>
        <w:widowControl w:val="0"/>
        <w:numPr>
          <w:ilvl w:val="0"/>
          <w:numId w:val="2"/>
        </w:numPr>
        <w:kinsoku/>
        <w:wordWrap/>
        <w:overflowPunct/>
        <w:topLinePunct w:val="0"/>
        <w:autoSpaceDE/>
        <w:autoSpaceDN/>
        <w:bidi w:val="0"/>
        <w:adjustRightInd/>
        <w:snapToGrid/>
        <w:spacing w:before="0" w:beforeLines="0" w:beforeAutospacing="0" w:after="0" w:afterLines="0" w:afterAutospacing="0" w:line="560" w:lineRule="exact"/>
        <w:ind w:firstLine="640" w:firstLineChars="200"/>
        <w:textAlignment w:val="auto"/>
        <w:rPr>
          <w:rFonts w:hint="eastAsia" w:ascii="Times New Roman" w:hAnsi="Times New Roman" w:eastAsia="仿宋_GB2312" w:cs="仿宋_GB2312"/>
          <w:sz w:val="32"/>
          <w:szCs w:val="40"/>
          <w:highlight w:val="none"/>
          <w:lang w:bidi="ar"/>
        </w:rPr>
      </w:pPr>
      <w:r>
        <w:rPr>
          <w:rFonts w:hint="eastAsia" w:ascii="Times New Roman" w:hAnsi="Times New Roman" w:eastAsia="仿宋_GB2312" w:cs="仿宋_GB2312"/>
          <w:sz w:val="32"/>
          <w:szCs w:val="40"/>
          <w:highlight w:val="none"/>
          <w:lang w:bidi="ar"/>
        </w:rPr>
        <w:t>参与省间电力现货交易发电机组应接入电网调度自动发电控制系统（AGC），能准确可靠执行机组出力调节指令。未接入电网调度自动发电控制系统（AGC）或受生产工艺、机组性能等因素影响，无法快速响应出力调节指令的机组暂不参与省间电力现货交易。</w:t>
      </w:r>
    </w:p>
    <w:p w14:paraId="4855C30A">
      <w:pPr>
        <w:pStyle w:val="5"/>
        <w:keepNext w:val="0"/>
        <w:keepLines w:val="0"/>
        <w:pageBreakBefore w:val="0"/>
        <w:widowControl w:val="0"/>
        <w:numPr>
          <w:ilvl w:val="0"/>
          <w:numId w:val="2"/>
        </w:numPr>
        <w:kinsoku/>
        <w:wordWrap/>
        <w:overflowPunct/>
        <w:topLinePunct w:val="0"/>
        <w:autoSpaceDE/>
        <w:autoSpaceDN/>
        <w:bidi w:val="0"/>
        <w:adjustRightInd/>
        <w:snapToGrid/>
        <w:spacing w:before="0" w:beforeLines="0" w:beforeAutospacing="0" w:after="0" w:afterLines="0" w:afterAutospacing="0" w:line="560" w:lineRule="exact"/>
        <w:ind w:firstLine="640" w:firstLineChars="200"/>
        <w:textAlignment w:val="auto"/>
        <w:rPr>
          <w:rFonts w:hint="eastAsia" w:ascii="Times New Roman" w:hAnsi="Times New Roman" w:eastAsia="仿宋_GB2312" w:cs="仿宋_GB2312"/>
          <w:sz w:val="32"/>
          <w:szCs w:val="40"/>
          <w:highlight w:val="none"/>
          <w:lang w:bidi="ar"/>
        </w:rPr>
      </w:pPr>
      <w:r>
        <w:rPr>
          <w:rFonts w:hint="eastAsia" w:ascii="Times New Roman" w:hAnsi="Times New Roman" w:eastAsia="仿宋_GB2312" w:cs="仿宋_GB2312"/>
          <w:sz w:val="32"/>
          <w:szCs w:val="40"/>
          <w:highlight w:val="none"/>
          <w:lang w:bidi="ar"/>
        </w:rPr>
        <w:t>发电机组调试期间不得参与省间电力现货交易。</w:t>
      </w:r>
    </w:p>
    <w:p w14:paraId="5F2490D8">
      <w:pPr>
        <w:pStyle w:val="5"/>
        <w:keepNext w:val="0"/>
        <w:keepLines w:val="0"/>
        <w:pageBreakBefore w:val="0"/>
        <w:widowControl w:val="0"/>
        <w:numPr>
          <w:ilvl w:val="0"/>
          <w:numId w:val="2"/>
        </w:numPr>
        <w:kinsoku/>
        <w:wordWrap/>
        <w:overflowPunct/>
        <w:topLinePunct w:val="0"/>
        <w:autoSpaceDE/>
        <w:autoSpaceDN/>
        <w:bidi w:val="0"/>
        <w:adjustRightInd/>
        <w:snapToGrid/>
        <w:spacing w:before="0" w:beforeLines="0" w:beforeAutospacing="0" w:after="0" w:afterLines="0" w:afterAutospacing="0" w:line="560" w:lineRule="exact"/>
        <w:ind w:firstLine="640" w:firstLineChars="200"/>
        <w:textAlignment w:val="auto"/>
        <w:rPr>
          <w:rFonts w:hint="eastAsia" w:ascii="Times New Roman" w:hAnsi="Times New Roman" w:eastAsia="仿宋_GB2312" w:cs="仿宋_GB2312"/>
          <w:sz w:val="32"/>
          <w:szCs w:val="40"/>
          <w:highlight w:val="none"/>
          <w:lang w:bidi="ar"/>
        </w:rPr>
      </w:pPr>
      <w:r>
        <w:rPr>
          <w:rFonts w:hint="eastAsia" w:ascii="Times New Roman" w:hAnsi="Times New Roman" w:eastAsia="仿宋_GB2312" w:cs="仿宋_GB2312"/>
          <w:sz w:val="32"/>
          <w:szCs w:val="40"/>
          <w:highlight w:val="none"/>
          <w:lang w:bidi="ar"/>
        </w:rPr>
        <w:t>经营主体在参与省间现货交易前</w:t>
      </w:r>
      <w:r>
        <w:rPr>
          <w:rFonts w:hint="eastAsia" w:ascii="Times New Roman" w:hAnsi="Times New Roman" w:eastAsia="仿宋_GB2312" w:cs="仿宋_GB2312"/>
          <w:sz w:val="32"/>
          <w:szCs w:val="40"/>
          <w:highlight w:val="none"/>
          <w:lang w:val="en-US" w:eastAsia="zh-CN" w:bidi="ar"/>
        </w:rPr>
        <w:t>须</w:t>
      </w:r>
      <w:r>
        <w:rPr>
          <w:rFonts w:hint="eastAsia" w:ascii="Times New Roman" w:hAnsi="Times New Roman" w:eastAsia="仿宋_GB2312" w:cs="仿宋_GB2312"/>
          <w:sz w:val="32"/>
          <w:szCs w:val="40"/>
          <w:highlight w:val="none"/>
          <w:lang w:bidi="ar"/>
        </w:rPr>
        <w:t>阅知《省间电力现货交易风险提示书》，并签订《省间电力现货交易承诺书》（包括买卖双方的权利与义务、不可抗力、争议解决、调整和违约、特别约定等）。</w:t>
      </w:r>
    </w:p>
    <w:p w14:paraId="6D737F70">
      <w:pPr>
        <w:pStyle w:val="5"/>
        <w:keepNext w:val="0"/>
        <w:keepLines w:val="0"/>
        <w:pageBreakBefore w:val="0"/>
        <w:widowControl w:val="0"/>
        <w:numPr>
          <w:ilvl w:val="0"/>
          <w:numId w:val="2"/>
        </w:numPr>
        <w:kinsoku/>
        <w:wordWrap/>
        <w:overflowPunct/>
        <w:topLinePunct w:val="0"/>
        <w:autoSpaceDE/>
        <w:autoSpaceDN/>
        <w:bidi w:val="0"/>
        <w:adjustRightInd/>
        <w:snapToGrid/>
        <w:spacing w:before="0" w:beforeLines="0" w:beforeAutospacing="0" w:after="0" w:afterLines="0" w:afterAutospacing="0" w:line="560" w:lineRule="exact"/>
        <w:ind w:firstLine="640" w:firstLineChars="200"/>
        <w:textAlignment w:val="auto"/>
        <w:rPr>
          <w:rFonts w:hint="eastAsia" w:ascii="Times New Roman" w:hAnsi="Times New Roman" w:eastAsia="仿宋_GB2312" w:cs="仿宋_GB2312"/>
          <w:sz w:val="32"/>
          <w:szCs w:val="40"/>
          <w:highlight w:val="none"/>
          <w:lang w:bidi="ar"/>
        </w:rPr>
      </w:pPr>
      <w:r>
        <w:rPr>
          <w:rFonts w:hint="eastAsia" w:ascii="Times New Roman" w:hAnsi="Times New Roman" w:eastAsia="仿宋_GB2312" w:cs="仿宋_GB2312"/>
          <w:sz w:val="32"/>
          <w:szCs w:val="40"/>
          <w:highlight w:val="none"/>
          <w:lang w:bidi="ar"/>
        </w:rPr>
        <w:t>经营主体</w:t>
      </w:r>
      <w:r>
        <w:rPr>
          <w:rFonts w:hint="eastAsia" w:ascii="Times New Roman" w:hAnsi="Times New Roman" w:eastAsia="仿宋_GB2312" w:cs="仿宋_GB2312"/>
          <w:sz w:val="32"/>
          <w:szCs w:val="40"/>
          <w:highlight w:val="none"/>
          <w:lang w:val="en-US" w:eastAsia="zh-CN" w:bidi="ar"/>
        </w:rPr>
        <w:t>须</w:t>
      </w:r>
      <w:r>
        <w:rPr>
          <w:rFonts w:hint="eastAsia" w:ascii="Times New Roman" w:hAnsi="Times New Roman" w:eastAsia="仿宋_GB2312" w:cs="仿宋_GB2312"/>
          <w:sz w:val="32"/>
          <w:szCs w:val="40"/>
          <w:highlight w:val="none"/>
          <w:lang w:bidi="ar"/>
        </w:rPr>
        <w:t>满足参与省间电力现货交易的其他相关政策规则要求。</w:t>
      </w:r>
    </w:p>
    <w:p w14:paraId="285E1DEE">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left="0" w:firstLine="640" w:firstLineChars="200"/>
        <w:textAlignment w:val="auto"/>
        <w:rPr>
          <w:rFonts w:hint="eastAsia" w:ascii="Times New Roman" w:hAnsi="Times New Roman" w:eastAsia="仿宋_GB2312" w:cs="仿宋_GB2312"/>
          <w:sz w:val="32"/>
          <w:szCs w:val="32"/>
          <w:highlight w:val="none"/>
          <w:lang w:bidi="ar"/>
        </w:rPr>
      </w:pPr>
      <w:r>
        <w:rPr>
          <w:rFonts w:hint="eastAsia" w:ascii="Times New Roman" w:hAnsi="Times New Roman" w:eastAsia="仿宋_GB2312" w:cs="仿宋_GB2312"/>
          <w:sz w:val="32"/>
          <w:szCs w:val="32"/>
          <w:highlight w:val="none"/>
          <w:lang w:bidi="ar"/>
        </w:rPr>
        <w:t>市场退出：</w:t>
      </w:r>
    </w:p>
    <w:p w14:paraId="16E785FD">
      <w:pPr>
        <w:keepNext w:val="0"/>
        <w:keepLines w:val="0"/>
        <w:pageBreakBefore w:val="0"/>
        <w:widowControl w:val="0"/>
        <w:numPr>
          <w:ilvl w:val="0"/>
          <w:numId w:val="3"/>
        </w:numPr>
        <w:kinsoku/>
        <w:wordWrap/>
        <w:overflowPunct/>
        <w:topLinePunct w:val="0"/>
        <w:autoSpaceDE/>
        <w:autoSpaceDN/>
        <w:bidi w:val="0"/>
        <w:adjustRightInd/>
        <w:snapToGrid/>
        <w:spacing w:beforeLines="0" w:afterLines="0" w:line="560" w:lineRule="exact"/>
        <w:ind w:left="0" w:firstLine="640" w:firstLineChars="0"/>
        <w:textAlignment w:val="auto"/>
        <w:rPr>
          <w:rFonts w:hint="eastAsia" w:ascii="Times New Roman" w:hAnsi="Times New Roman" w:eastAsia="仿宋_GB2312" w:cs="仿宋_GB2312"/>
          <w:sz w:val="32"/>
          <w:szCs w:val="32"/>
          <w:highlight w:val="none"/>
          <w:lang w:bidi="ar"/>
        </w:rPr>
      </w:pPr>
      <w:r>
        <w:rPr>
          <w:rFonts w:hint="eastAsia" w:ascii="Times New Roman" w:hAnsi="Times New Roman" w:eastAsia="仿宋_GB2312" w:cs="仿宋_GB2312"/>
          <w:sz w:val="32"/>
          <w:szCs w:val="32"/>
          <w:highlight w:val="none"/>
          <w:lang w:val="en-US" w:eastAsia="zh-CN" w:bidi="ar"/>
        </w:rPr>
        <w:t>经营主体参与交易申报后，在相应交易周期完成前无正当理由不得退出。</w:t>
      </w:r>
    </w:p>
    <w:p w14:paraId="1A658039">
      <w:pPr>
        <w:keepNext w:val="0"/>
        <w:keepLines w:val="0"/>
        <w:pageBreakBefore w:val="0"/>
        <w:widowControl w:val="0"/>
        <w:numPr>
          <w:ilvl w:val="0"/>
          <w:numId w:val="3"/>
        </w:numPr>
        <w:kinsoku/>
        <w:wordWrap/>
        <w:overflowPunct/>
        <w:topLinePunct w:val="0"/>
        <w:autoSpaceDE/>
        <w:autoSpaceDN/>
        <w:bidi w:val="0"/>
        <w:adjustRightInd/>
        <w:snapToGrid/>
        <w:spacing w:beforeLines="0" w:afterLines="0" w:line="560" w:lineRule="exact"/>
        <w:ind w:left="0" w:firstLine="640" w:firstLineChars="0"/>
        <w:textAlignment w:val="auto"/>
        <w:rPr>
          <w:rFonts w:hint="eastAsia" w:ascii="Times New Roman" w:hAnsi="Times New Roman" w:eastAsia="仿宋_GB2312" w:cs="仿宋_GB2312"/>
          <w:sz w:val="32"/>
          <w:szCs w:val="40"/>
          <w:highlight w:val="none"/>
          <w:lang w:bidi="ar"/>
        </w:rPr>
      </w:pPr>
      <w:r>
        <w:rPr>
          <w:rFonts w:hint="eastAsia" w:ascii="Times New Roman" w:hAnsi="Times New Roman" w:eastAsia="仿宋_GB2312" w:cs="仿宋_GB2312"/>
          <w:sz w:val="32"/>
          <w:szCs w:val="32"/>
          <w:highlight w:val="none"/>
          <w:lang w:bidi="ar"/>
        </w:rPr>
        <w:t>因故需要退出市场的经营主体，</w:t>
      </w:r>
      <w:r>
        <w:rPr>
          <w:rFonts w:hint="eastAsia" w:ascii="Times New Roman" w:hAnsi="Times New Roman" w:eastAsia="仿宋_GB2312" w:cs="仿宋_GB2312"/>
          <w:sz w:val="32"/>
          <w:szCs w:val="32"/>
          <w:highlight w:val="none"/>
          <w:lang w:val="en-US" w:eastAsia="zh-CN" w:bidi="ar"/>
        </w:rPr>
        <w:t>须</w:t>
      </w:r>
      <w:r>
        <w:rPr>
          <w:rFonts w:hint="eastAsia" w:ascii="Times New Roman" w:hAnsi="Times New Roman" w:eastAsia="仿宋_GB2312" w:cs="仿宋_GB2312"/>
          <w:sz w:val="32"/>
          <w:szCs w:val="32"/>
          <w:highlight w:val="none"/>
          <w:lang w:eastAsia="zh-CN" w:bidi="ar"/>
        </w:rPr>
        <w:t>满足电力市场注册基本规则中可申请注销的正当理由，应</w:t>
      </w:r>
      <w:r>
        <w:rPr>
          <w:rFonts w:hint="eastAsia" w:ascii="Times New Roman" w:hAnsi="Times New Roman" w:eastAsia="仿宋_GB2312" w:cs="仿宋_GB2312"/>
          <w:sz w:val="32"/>
          <w:szCs w:val="32"/>
          <w:highlight w:val="none"/>
          <w:lang w:bidi="ar"/>
        </w:rPr>
        <w:t>向电力交易机构提出</w:t>
      </w:r>
      <w:r>
        <w:rPr>
          <w:rFonts w:hint="eastAsia" w:ascii="Times New Roman" w:hAnsi="Times New Roman" w:eastAsia="仿宋_GB2312" w:cs="仿宋_GB2312"/>
          <w:sz w:val="32"/>
          <w:szCs w:val="32"/>
          <w:highlight w:val="none"/>
          <w:lang w:eastAsia="zh-CN" w:bidi="ar"/>
        </w:rPr>
        <w:t>市场注销</w:t>
      </w:r>
      <w:r>
        <w:rPr>
          <w:rFonts w:hint="eastAsia" w:ascii="Times New Roman" w:hAnsi="Times New Roman" w:eastAsia="仿宋_GB2312" w:cs="仿宋_GB2312"/>
          <w:sz w:val="32"/>
          <w:szCs w:val="32"/>
          <w:highlight w:val="none"/>
          <w:lang w:bidi="ar"/>
        </w:rPr>
        <w:t>申请</w:t>
      </w:r>
      <w:r>
        <w:rPr>
          <w:rFonts w:hint="eastAsia" w:ascii="Times New Roman" w:hAnsi="Times New Roman" w:eastAsia="仿宋_GB2312" w:cs="仿宋_GB2312"/>
          <w:sz w:val="32"/>
          <w:szCs w:val="32"/>
          <w:highlight w:val="none"/>
          <w:lang w:eastAsia="zh-CN" w:bidi="ar"/>
        </w:rPr>
        <w:t>，并按照相应流程及要求办理</w:t>
      </w:r>
      <w:r>
        <w:rPr>
          <w:rFonts w:hint="eastAsia" w:ascii="Times New Roman" w:hAnsi="Times New Roman" w:eastAsia="仿宋_GB2312" w:cs="仿宋_GB2312"/>
          <w:sz w:val="32"/>
          <w:szCs w:val="32"/>
          <w:highlight w:val="none"/>
          <w:lang w:bidi="ar"/>
        </w:rPr>
        <w:t>。</w:t>
      </w:r>
    </w:p>
    <w:p w14:paraId="04B79E3B">
      <w:pPr>
        <w:keepNext w:val="0"/>
        <w:keepLines w:val="0"/>
        <w:pageBreakBefore w:val="0"/>
        <w:widowControl w:val="0"/>
        <w:numPr>
          <w:ilvl w:val="0"/>
          <w:numId w:val="3"/>
        </w:numPr>
        <w:kinsoku/>
        <w:wordWrap/>
        <w:overflowPunct/>
        <w:topLinePunct w:val="0"/>
        <w:autoSpaceDE/>
        <w:autoSpaceDN/>
        <w:bidi w:val="0"/>
        <w:adjustRightInd/>
        <w:snapToGrid/>
        <w:spacing w:beforeLines="0" w:afterLines="0" w:line="560" w:lineRule="exact"/>
        <w:ind w:left="0" w:firstLine="640" w:firstLineChars="0"/>
        <w:textAlignment w:val="auto"/>
        <w:rPr>
          <w:rFonts w:hint="eastAsia" w:ascii="Times New Roman" w:hAnsi="Times New Roman" w:eastAsia="仿宋_GB2312" w:cs="仿宋_GB2312"/>
          <w:sz w:val="32"/>
          <w:szCs w:val="40"/>
          <w:highlight w:val="none"/>
          <w:lang w:bidi="ar"/>
        </w:rPr>
      </w:pPr>
      <w:r>
        <w:rPr>
          <w:rFonts w:hint="eastAsia" w:ascii="Times New Roman" w:hAnsi="Times New Roman" w:eastAsia="仿宋_GB2312" w:cs="仿宋_GB2312"/>
          <w:sz w:val="32"/>
          <w:szCs w:val="32"/>
          <w:highlight w:val="none"/>
          <w:lang w:val="en-US" w:eastAsia="zh-CN" w:bidi="ar"/>
        </w:rPr>
        <w:t>即</w:t>
      </w:r>
      <w:r>
        <w:rPr>
          <w:rFonts w:hint="eastAsia" w:ascii="Times New Roman" w:hAnsi="Times New Roman" w:eastAsia="仿宋_GB2312" w:cs="仿宋_GB2312"/>
          <w:sz w:val="32"/>
          <w:szCs w:val="40"/>
          <w:highlight w:val="none"/>
          <w:lang w:val="en-US" w:eastAsia="zh-CN" w:bidi="ar"/>
        </w:rPr>
        <w:t>将市场注销</w:t>
      </w:r>
      <w:r>
        <w:rPr>
          <w:rFonts w:hint="eastAsia" w:ascii="Times New Roman" w:hAnsi="Times New Roman" w:eastAsia="仿宋_GB2312" w:cs="仿宋_GB2312"/>
          <w:sz w:val="32"/>
          <w:szCs w:val="32"/>
          <w:highlight w:val="none"/>
          <w:lang w:val="en-US" w:eastAsia="zh-CN" w:bidi="ar"/>
        </w:rPr>
        <w:t>的经营主体，应妥善处理已签订但未履行的市场交易合同等相关事宜</w:t>
      </w:r>
      <w:r>
        <w:rPr>
          <w:rFonts w:hint="eastAsia" w:ascii="Times New Roman" w:hAnsi="Times New Roman" w:eastAsia="仿宋_GB2312" w:cs="仿宋_GB2312"/>
          <w:sz w:val="32"/>
          <w:szCs w:val="32"/>
          <w:highlight w:val="none"/>
          <w:lang w:eastAsia="zh-CN" w:bidi="ar"/>
        </w:rPr>
        <w:t>，由此给市场交易相关方造成的损失由退市的经营主体承担，或自行通过司法程序解决。</w:t>
      </w:r>
    </w:p>
    <w:p w14:paraId="0FB7481A">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60" w:lineRule="exact"/>
        <w:ind w:left="640" w:firstLine="0" w:firstLineChars="0"/>
        <w:textAlignment w:val="auto"/>
        <w:rPr>
          <w:rFonts w:hint="eastAsia" w:ascii="Times New Roman" w:hAnsi="Times New Roman" w:eastAsia="仿宋_GB2312" w:cs="仿宋_GB2312"/>
          <w:sz w:val="32"/>
          <w:szCs w:val="40"/>
          <w:highlight w:val="none"/>
          <w:lang w:bidi="ar"/>
        </w:rPr>
      </w:pPr>
    </w:p>
    <w:p w14:paraId="7E971053">
      <w:pPr>
        <w:keepNext w:val="0"/>
        <w:keepLines w:val="0"/>
        <w:pageBreakBefore w:val="0"/>
        <w:widowControl w:val="0"/>
        <w:tabs>
          <w:tab w:val="left" w:pos="1704"/>
        </w:tabs>
        <w:kinsoku/>
        <w:wordWrap/>
        <w:overflowPunct/>
        <w:topLinePunct w:val="0"/>
        <w:autoSpaceDE/>
        <w:autoSpaceDN/>
        <w:bidi w:val="0"/>
        <w:adjustRightInd w:val="0"/>
        <w:snapToGrid w:val="0"/>
        <w:spacing w:beforeLines="0" w:afterLines="0" w:line="560" w:lineRule="exact"/>
        <w:jc w:val="center"/>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lang w:bidi="ar"/>
        </w:rPr>
        <w:t>第三章 交易与执行</w:t>
      </w:r>
    </w:p>
    <w:p w14:paraId="4EDECD2F">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left="0" w:firstLine="640" w:firstLineChars="200"/>
        <w:textAlignment w:val="auto"/>
        <w:rPr>
          <w:rFonts w:hint="default" w:ascii="Times New Roman" w:hAnsi="Times New Roman" w:eastAsia="仿宋_GB2312" w:cs="仿宋_GB2312"/>
          <w:sz w:val="32"/>
          <w:szCs w:val="32"/>
          <w:highlight w:val="none"/>
          <w:lang w:bidi="ar"/>
        </w:rPr>
      </w:pPr>
      <w:r>
        <w:rPr>
          <w:rFonts w:hint="default" w:ascii="Times New Roman" w:hAnsi="Times New Roman" w:eastAsia="仿宋_GB2312" w:cs="仿宋_GB2312"/>
          <w:sz w:val="32"/>
          <w:szCs w:val="32"/>
          <w:highlight w:val="none"/>
          <w:lang w:bidi="ar"/>
        </w:rPr>
        <w:t>交易组织流程按照《省间电力现货交易规则》执行。</w:t>
      </w:r>
    </w:p>
    <w:p w14:paraId="1470A7D2">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left="0" w:firstLine="640" w:firstLineChars="200"/>
        <w:textAlignment w:val="auto"/>
        <w:rPr>
          <w:rFonts w:hint="default" w:ascii="Times New Roman" w:hAnsi="Times New Roman" w:eastAsia="仿宋_GB2312" w:cs="仿宋_GB2312"/>
          <w:sz w:val="32"/>
          <w:szCs w:val="32"/>
          <w:highlight w:val="none"/>
          <w:lang w:bidi="ar"/>
        </w:rPr>
      </w:pPr>
      <w:r>
        <w:rPr>
          <w:rFonts w:hint="default" w:ascii="Times New Roman" w:hAnsi="Times New Roman" w:eastAsia="仿宋_GB2312" w:cs="仿宋_GB2312"/>
          <w:sz w:val="32"/>
          <w:szCs w:val="32"/>
          <w:highlight w:val="none"/>
          <w:lang w:bidi="ar"/>
        </w:rPr>
        <w:t>京津唐电网下备用不满足《华北电网备用容量调度管理规定》时，为了保障京津唐电网新能源消纳，不</w:t>
      </w:r>
      <w:r>
        <w:rPr>
          <w:rFonts w:hint="default" w:ascii="Times New Roman" w:hAnsi="Times New Roman" w:eastAsia="仿宋_GB2312" w:cs="仿宋_GB2312"/>
          <w:sz w:val="32"/>
          <w:szCs w:val="32"/>
          <w:highlight w:val="none"/>
          <w:lang w:val="en-US" w:eastAsia="zh-CN" w:bidi="ar"/>
        </w:rPr>
        <w:t>组织</w:t>
      </w:r>
      <w:r>
        <w:rPr>
          <w:rFonts w:hint="default" w:ascii="Times New Roman" w:hAnsi="Times New Roman" w:eastAsia="仿宋_GB2312" w:cs="仿宋_GB2312"/>
          <w:sz w:val="32"/>
          <w:szCs w:val="32"/>
          <w:highlight w:val="none"/>
          <w:lang w:bidi="ar"/>
        </w:rPr>
        <w:t>天津</w:t>
      </w:r>
      <w:r>
        <w:rPr>
          <w:rFonts w:hint="default" w:ascii="Times New Roman" w:hAnsi="Times New Roman" w:eastAsia="仿宋_GB2312" w:cs="仿宋_GB2312"/>
          <w:sz w:val="32"/>
          <w:szCs w:val="32"/>
          <w:highlight w:val="none"/>
          <w:lang w:eastAsia="zh-CN" w:bidi="ar"/>
        </w:rPr>
        <w:t>经营主体</w:t>
      </w:r>
      <w:r>
        <w:rPr>
          <w:rFonts w:hint="default" w:ascii="Times New Roman" w:hAnsi="Times New Roman" w:eastAsia="仿宋_GB2312" w:cs="仿宋_GB2312"/>
          <w:sz w:val="32"/>
          <w:szCs w:val="32"/>
          <w:highlight w:val="none"/>
          <w:lang w:bidi="ar"/>
        </w:rPr>
        <w:t>买入电力申报。京津唐电网上备用不满足《华北电网备用容量调度管理规定》时，为了保障京津唐电网电力供需平衡，不</w:t>
      </w:r>
      <w:r>
        <w:rPr>
          <w:rFonts w:hint="default" w:ascii="Times New Roman" w:hAnsi="Times New Roman" w:eastAsia="仿宋_GB2312" w:cs="仿宋_GB2312"/>
          <w:sz w:val="32"/>
          <w:szCs w:val="32"/>
          <w:highlight w:val="none"/>
          <w:lang w:val="en-US" w:eastAsia="zh-CN" w:bidi="ar"/>
        </w:rPr>
        <w:t>组织</w:t>
      </w:r>
      <w:r>
        <w:rPr>
          <w:rFonts w:hint="default" w:ascii="Times New Roman" w:hAnsi="Times New Roman" w:eastAsia="仿宋_GB2312" w:cs="仿宋_GB2312"/>
          <w:sz w:val="32"/>
          <w:szCs w:val="32"/>
          <w:highlight w:val="none"/>
          <w:lang w:bidi="ar"/>
        </w:rPr>
        <w:t>天津</w:t>
      </w:r>
      <w:r>
        <w:rPr>
          <w:rFonts w:hint="default" w:ascii="Times New Roman" w:hAnsi="Times New Roman" w:eastAsia="仿宋_GB2312" w:cs="仿宋_GB2312"/>
          <w:sz w:val="32"/>
          <w:szCs w:val="32"/>
          <w:highlight w:val="none"/>
          <w:lang w:eastAsia="zh-CN" w:bidi="ar"/>
        </w:rPr>
        <w:t>经营主体</w:t>
      </w:r>
      <w:r>
        <w:rPr>
          <w:rFonts w:hint="default" w:ascii="Times New Roman" w:hAnsi="Times New Roman" w:eastAsia="仿宋_GB2312" w:cs="仿宋_GB2312"/>
          <w:sz w:val="32"/>
          <w:szCs w:val="32"/>
          <w:highlight w:val="none"/>
          <w:lang w:bidi="ar"/>
        </w:rPr>
        <w:t>卖出电力申报。</w:t>
      </w:r>
    </w:p>
    <w:p w14:paraId="540E5E5E">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left="0" w:firstLine="640" w:firstLineChars="200"/>
        <w:textAlignment w:val="auto"/>
        <w:rPr>
          <w:rFonts w:hint="default" w:ascii="Times New Roman" w:hAnsi="Times New Roman" w:eastAsia="仿宋_GB2312" w:cs="仿宋_GB2312"/>
          <w:sz w:val="32"/>
          <w:szCs w:val="32"/>
          <w:highlight w:val="none"/>
          <w:lang w:bidi="ar"/>
        </w:rPr>
      </w:pPr>
      <w:r>
        <w:rPr>
          <w:rFonts w:hint="eastAsia" w:ascii="Times New Roman" w:hAnsi="Times New Roman" w:eastAsia="仿宋_GB2312" w:cs="仿宋_GB2312"/>
          <w:sz w:val="32"/>
          <w:szCs w:val="32"/>
          <w:highlight w:val="none"/>
          <w:lang w:eastAsia="zh-CN" w:bidi="ar"/>
        </w:rPr>
        <w:t>国网天津市电力公司</w:t>
      </w:r>
      <w:r>
        <w:rPr>
          <w:rFonts w:hint="default" w:ascii="Times New Roman" w:hAnsi="Times New Roman" w:eastAsia="仿宋_GB2312" w:cs="仿宋_GB2312"/>
          <w:sz w:val="32"/>
          <w:szCs w:val="32"/>
          <w:highlight w:val="none"/>
          <w:lang w:bidi="ar"/>
        </w:rPr>
        <w:t>电力调度控制中心（以下简称</w:t>
      </w:r>
      <w:r>
        <w:rPr>
          <w:rFonts w:hint="eastAsia" w:ascii="Times New Roman" w:hAnsi="Times New Roman" w:eastAsia="仿宋_GB2312" w:cs="仿宋_GB2312"/>
          <w:sz w:val="32"/>
          <w:szCs w:val="32"/>
          <w:highlight w:val="none"/>
          <w:lang w:eastAsia="zh-CN" w:bidi="ar"/>
        </w:rPr>
        <w:t>“</w:t>
      </w:r>
      <w:r>
        <w:rPr>
          <w:rFonts w:hint="default" w:ascii="Times New Roman" w:hAnsi="Times New Roman" w:eastAsia="仿宋_GB2312" w:cs="仿宋_GB2312"/>
          <w:sz w:val="32"/>
          <w:szCs w:val="32"/>
          <w:highlight w:val="none"/>
          <w:lang w:bidi="ar"/>
        </w:rPr>
        <w:t>天津市调</w:t>
      </w:r>
      <w:r>
        <w:rPr>
          <w:rFonts w:hint="eastAsia" w:ascii="Times New Roman" w:hAnsi="Times New Roman" w:eastAsia="仿宋_GB2312" w:cs="仿宋_GB2312"/>
          <w:sz w:val="32"/>
          <w:szCs w:val="32"/>
          <w:highlight w:val="none"/>
          <w:lang w:eastAsia="zh-CN" w:bidi="ar"/>
        </w:rPr>
        <w:t>”</w:t>
      </w:r>
      <w:r>
        <w:rPr>
          <w:rFonts w:hint="default" w:ascii="Times New Roman" w:hAnsi="Times New Roman" w:eastAsia="仿宋_GB2312" w:cs="仿宋_GB2312"/>
          <w:sz w:val="32"/>
          <w:szCs w:val="32"/>
          <w:highlight w:val="none"/>
          <w:lang w:bidi="ar"/>
        </w:rPr>
        <w:t>）综合考虑市场化交易结果、市场化电量执行进度、电力负荷情况、新能源出力预测、电网安全约束、民生供热需求、设备检修计划等因素，编制火电机组预计划，作为发电机组参与省间电力现货交易的基准</w:t>
      </w:r>
      <w:r>
        <w:rPr>
          <w:rFonts w:hint="default" w:ascii="Times New Roman" w:hAnsi="Times New Roman" w:eastAsia="仿宋_GB2312" w:cs="仿宋_GB2312"/>
          <w:sz w:val="32"/>
          <w:szCs w:val="32"/>
          <w:highlight w:val="none"/>
          <w:lang w:eastAsia="zh-CN" w:bidi="ar"/>
        </w:rPr>
        <w:t>（预计划编制原则详见附件</w:t>
      </w:r>
      <w:r>
        <w:rPr>
          <w:rFonts w:hint="eastAsia" w:ascii="Times New Roman" w:hAnsi="Times New Roman" w:eastAsia="仿宋_GB2312" w:cs="仿宋_GB2312"/>
          <w:sz w:val="32"/>
          <w:szCs w:val="32"/>
          <w:highlight w:val="none"/>
          <w:lang w:val="en-US" w:eastAsia="zh-CN" w:bidi="ar"/>
        </w:rPr>
        <w:t>2</w:t>
      </w:r>
      <w:r>
        <w:rPr>
          <w:rFonts w:hint="default" w:ascii="Times New Roman" w:hAnsi="Times New Roman" w:eastAsia="仿宋_GB2312" w:cs="仿宋_GB2312"/>
          <w:sz w:val="32"/>
          <w:szCs w:val="32"/>
          <w:highlight w:val="none"/>
          <w:lang w:eastAsia="zh-CN" w:bidi="ar"/>
        </w:rPr>
        <w:t>）</w:t>
      </w:r>
      <w:r>
        <w:rPr>
          <w:rFonts w:hint="default" w:ascii="Times New Roman" w:hAnsi="Times New Roman" w:eastAsia="仿宋_GB2312" w:cs="仿宋_GB2312"/>
          <w:sz w:val="32"/>
          <w:szCs w:val="32"/>
          <w:highlight w:val="none"/>
          <w:lang w:bidi="ar"/>
        </w:rPr>
        <w:t>。火电发电企业参与售电交易，申报电力不得超过其实际</w:t>
      </w:r>
      <w:r>
        <w:rPr>
          <w:rFonts w:hint="default" w:ascii="Times New Roman" w:hAnsi="Times New Roman" w:eastAsia="仿宋_GB2312" w:cs="仿宋_GB2312"/>
          <w:sz w:val="32"/>
          <w:szCs w:val="32"/>
          <w:highlight w:val="none"/>
          <w:lang w:val="en-US" w:eastAsia="zh-CN" w:bidi="ar"/>
        </w:rPr>
        <w:t>最大</w:t>
      </w:r>
      <w:r>
        <w:rPr>
          <w:rFonts w:hint="default" w:ascii="Times New Roman" w:hAnsi="Times New Roman" w:eastAsia="仿宋_GB2312" w:cs="仿宋_GB2312"/>
          <w:sz w:val="32"/>
          <w:szCs w:val="32"/>
          <w:highlight w:val="none"/>
          <w:lang w:bidi="ar"/>
        </w:rPr>
        <w:t>发电能力与</w:t>
      </w:r>
      <w:r>
        <w:rPr>
          <w:rFonts w:hint="default" w:ascii="Times New Roman" w:hAnsi="Times New Roman" w:eastAsia="仿宋_GB2312" w:cs="仿宋_GB2312"/>
          <w:sz w:val="32"/>
          <w:szCs w:val="32"/>
          <w:highlight w:val="none"/>
          <w:lang w:eastAsia="zh-CN" w:bidi="ar"/>
        </w:rPr>
        <w:t>（</w:t>
      </w:r>
      <w:r>
        <w:rPr>
          <w:rFonts w:hint="default" w:ascii="Times New Roman" w:hAnsi="Times New Roman" w:eastAsia="仿宋_GB2312" w:cs="仿宋_GB2312"/>
          <w:sz w:val="32"/>
          <w:szCs w:val="32"/>
          <w:highlight w:val="none"/>
          <w:lang w:val="en-US" w:eastAsia="zh-CN" w:bidi="ar"/>
        </w:rPr>
        <w:t>预</w:t>
      </w:r>
      <w:r>
        <w:rPr>
          <w:rFonts w:hint="default" w:ascii="Times New Roman" w:hAnsi="Times New Roman" w:eastAsia="仿宋_GB2312" w:cs="仿宋_GB2312"/>
          <w:sz w:val="32"/>
          <w:szCs w:val="32"/>
          <w:highlight w:val="none"/>
          <w:lang w:eastAsia="zh-CN" w:bidi="ar"/>
        </w:rPr>
        <w:t>）</w:t>
      </w:r>
      <w:r>
        <w:rPr>
          <w:rFonts w:hint="default" w:ascii="Times New Roman" w:hAnsi="Times New Roman" w:eastAsia="仿宋_GB2312" w:cs="仿宋_GB2312"/>
          <w:sz w:val="32"/>
          <w:szCs w:val="32"/>
          <w:highlight w:val="none"/>
          <w:lang w:bidi="ar"/>
        </w:rPr>
        <w:t>计划之差，计划中未安排开机的机组不得申报</w:t>
      </w:r>
      <w:r>
        <w:rPr>
          <w:rFonts w:hint="default" w:ascii="Times New Roman" w:hAnsi="Times New Roman" w:eastAsia="仿宋_GB2312" w:cs="仿宋_GB2312"/>
          <w:sz w:val="32"/>
          <w:szCs w:val="32"/>
          <w:highlight w:val="none"/>
          <w:lang w:val="en-US" w:eastAsia="zh-CN" w:bidi="ar"/>
        </w:rPr>
        <w:t>售电</w:t>
      </w:r>
      <w:r>
        <w:rPr>
          <w:rFonts w:hint="default" w:ascii="Times New Roman" w:hAnsi="Times New Roman" w:eastAsia="仿宋_GB2312" w:cs="仿宋_GB2312"/>
          <w:sz w:val="32"/>
          <w:szCs w:val="32"/>
          <w:highlight w:val="none"/>
          <w:lang w:bidi="ar"/>
        </w:rPr>
        <w:t>电力；火电发电企业参与购电交易，申报电力不得超过其</w:t>
      </w:r>
      <w:r>
        <w:rPr>
          <w:rFonts w:hint="default" w:ascii="Times New Roman" w:hAnsi="Times New Roman" w:eastAsia="仿宋_GB2312" w:cs="仿宋_GB2312"/>
          <w:sz w:val="32"/>
          <w:szCs w:val="32"/>
          <w:highlight w:val="none"/>
          <w:lang w:eastAsia="zh-CN" w:bidi="ar"/>
        </w:rPr>
        <w:t>（</w:t>
      </w:r>
      <w:r>
        <w:rPr>
          <w:rFonts w:hint="default" w:ascii="Times New Roman" w:hAnsi="Times New Roman" w:eastAsia="仿宋_GB2312" w:cs="仿宋_GB2312"/>
          <w:sz w:val="32"/>
          <w:szCs w:val="32"/>
          <w:highlight w:val="none"/>
          <w:lang w:val="en-US" w:eastAsia="zh-CN" w:bidi="ar"/>
        </w:rPr>
        <w:t>预</w:t>
      </w:r>
      <w:r>
        <w:rPr>
          <w:rFonts w:hint="default" w:ascii="Times New Roman" w:hAnsi="Times New Roman" w:eastAsia="仿宋_GB2312" w:cs="仿宋_GB2312"/>
          <w:sz w:val="32"/>
          <w:szCs w:val="32"/>
          <w:highlight w:val="none"/>
          <w:lang w:eastAsia="zh-CN" w:bidi="ar"/>
        </w:rPr>
        <w:t>）</w:t>
      </w:r>
      <w:r>
        <w:rPr>
          <w:rFonts w:hint="default" w:ascii="Times New Roman" w:hAnsi="Times New Roman" w:eastAsia="仿宋_GB2312" w:cs="仿宋_GB2312"/>
          <w:sz w:val="32"/>
          <w:szCs w:val="32"/>
          <w:highlight w:val="none"/>
          <w:lang w:bidi="ar"/>
        </w:rPr>
        <w:t>计划出力与申报最小出力之差</w:t>
      </w:r>
      <w:r>
        <w:rPr>
          <w:rFonts w:hint="default" w:ascii="Times New Roman" w:hAnsi="Times New Roman" w:eastAsia="仿宋_GB2312" w:cs="仿宋_GB2312"/>
          <w:sz w:val="32"/>
          <w:szCs w:val="32"/>
          <w:highlight w:val="none"/>
          <w:lang w:eastAsia="zh-CN" w:bidi="ar"/>
        </w:rPr>
        <w:t>，</w:t>
      </w:r>
      <w:r>
        <w:rPr>
          <w:rFonts w:hint="default" w:ascii="Times New Roman" w:hAnsi="Times New Roman" w:eastAsia="仿宋_GB2312" w:cs="仿宋_GB2312"/>
          <w:sz w:val="32"/>
          <w:szCs w:val="32"/>
          <w:highlight w:val="none"/>
          <w:lang w:val="en-US" w:eastAsia="zh-CN" w:bidi="ar"/>
        </w:rPr>
        <w:t>停机机组不参与购电交易</w:t>
      </w:r>
      <w:r>
        <w:rPr>
          <w:rFonts w:hint="default" w:ascii="Times New Roman" w:hAnsi="Times New Roman" w:eastAsia="仿宋_GB2312" w:cs="仿宋_GB2312"/>
          <w:sz w:val="32"/>
          <w:szCs w:val="32"/>
          <w:highlight w:val="none"/>
          <w:lang w:bidi="ar"/>
        </w:rPr>
        <w:t>。</w:t>
      </w:r>
    </w:p>
    <w:p w14:paraId="2BF07442">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left="0" w:firstLine="640" w:firstLineChars="200"/>
        <w:textAlignment w:val="auto"/>
        <w:rPr>
          <w:rFonts w:hint="default" w:ascii="Times New Roman" w:hAnsi="Times New Roman" w:eastAsia="仿宋_GB2312" w:cs="仿宋_GB2312"/>
          <w:sz w:val="32"/>
          <w:szCs w:val="32"/>
          <w:highlight w:val="none"/>
          <w:lang w:bidi="ar"/>
        </w:rPr>
      </w:pPr>
      <w:r>
        <w:rPr>
          <w:rFonts w:hint="default" w:ascii="Times New Roman" w:hAnsi="Times New Roman" w:eastAsia="仿宋_GB2312" w:cs="仿宋_GB2312"/>
          <w:sz w:val="32"/>
          <w:szCs w:val="32"/>
          <w:highlight w:val="none"/>
          <w:lang w:bidi="ar"/>
        </w:rPr>
        <w:t>新能源消纳困难时，以促进新能源消纳为主要目标，由新能源发电企业按照预估弃电情况申报对外售出电力。在已预估将发生新能源弃电的情况下，具备交易资格的新能源电站，因市场化交易决策不当，包括不申报交易、申报价格高于出清价格等原因，导致未能发出的电量，</w:t>
      </w:r>
      <w:r>
        <w:rPr>
          <w:rFonts w:hint="default" w:ascii="Times New Roman" w:hAnsi="Times New Roman" w:eastAsia="仿宋_GB2312" w:cs="仿宋_GB2312"/>
          <w:sz w:val="32"/>
          <w:szCs w:val="32"/>
          <w:highlight w:val="none"/>
          <w:lang w:val="en-US" w:eastAsia="zh-CN" w:bidi="ar"/>
        </w:rPr>
        <w:t>根据</w:t>
      </w:r>
      <w:r>
        <w:rPr>
          <w:rFonts w:hint="default" w:ascii="Times New Roman" w:hAnsi="Times New Roman" w:eastAsia="仿宋_GB2312" w:cs="仿宋_GB2312"/>
          <w:sz w:val="32"/>
          <w:szCs w:val="32"/>
          <w:highlight w:val="none"/>
          <w:lang w:bidi="ar"/>
        </w:rPr>
        <w:t>《光伏电站消纳监测统计管理办法》（国能发新能规〔2021〕57号）</w:t>
      </w:r>
      <w:r>
        <w:rPr>
          <w:rFonts w:hint="default" w:ascii="Times New Roman" w:hAnsi="Times New Roman" w:eastAsia="仿宋_GB2312" w:cs="仿宋_GB2312"/>
          <w:sz w:val="32"/>
          <w:szCs w:val="32"/>
          <w:highlight w:val="none"/>
          <w:lang w:val="en-US" w:eastAsia="zh-CN" w:bidi="ar"/>
        </w:rPr>
        <w:t>及</w:t>
      </w:r>
      <w:r>
        <w:rPr>
          <w:rFonts w:hint="default" w:ascii="Times New Roman" w:hAnsi="Times New Roman" w:eastAsia="仿宋_GB2312" w:cs="仿宋_GB2312"/>
          <w:sz w:val="32"/>
          <w:szCs w:val="32"/>
          <w:highlight w:val="none"/>
          <w:lang w:bidi="ar"/>
        </w:rPr>
        <w:t>《风电场利用率监测统计管理办法》（国能发新能规〔2022〕49号），纳入特殊原因受限电量统计。</w:t>
      </w:r>
    </w:p>
    <w:p w14:paraId="2A7E945E">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left="0" w:firstLine="640" w:firstLineChars="200"/>
        <w:textAlignment w:val="auto"/>
        <w:rPr>
          <w:rFonts w:hint="default" w:ascii="Times New Roman" w:hAnsi="Times New Roman" w:eastAsia="仿宋_GB2312" w:cs="仿宋_GB2312"/>
          <w:sz w:val="32"/>
          <w:szCs w:val="32"/>
          <w:highlight w:val="none"/>
          <w:lang w:val="en-US" w:eastAsia="zh-CN" w:bidi="ar"/>
        </w:rPr>
      </w:pPr>
      <w:r>
        <w:rPr>
          <w:rFonts w:hint="eastAsia" w:ascii="Times New Roman" w:hAnsi="Times New Roman" w:eastAsia="仿宋_GB2312" w:cs="仿宋_GB2312"/>
          <w:sz w:val="32"/>
          <w:szCs w:val="32"/>
          <w:highlight w:val="none"/>
          <w:lang w:val="en-US" w:eastAsia="zh-CN" w:bidi="ar"/>
        </w:rPr>
        <w:t>为</w:t>
      </w:r>
      <w:r>
        <w:rPr>
          <w:rFonts w:hint="default" w:ascii="Times New Roman" w:hAnsi="Times New Roman" w:eastAsia="仿宋_GB2312" w:cs="仿宋_GB2312"/>
          <w:sz w:val="32"/>
          <w:szCs w:val="32"/>
          <w:highlight w:val="none"/>
          <w:lang w:val="en-US" w:eastAsia="zh-CN" w:bidi="ar"/>
        </w:rPr>
        <w:t>保障天津地区</w:t>
      </w:r>
      <w:r>
        <w:rPr>
          <w:rFonts w:hint="eastAsia" w:ascii="Times New Roman" w:hAnsi="Times New Roman" w:eastAsia="仿宋_GB2312" w:cs="仿宋_GB2312"/>
          <w:sz w:val="32"/>
          <w:szCs w:val="32"/>
          <w:highlight w:val="none"/>
          <w:lang w:val="en-US" w:eastAsia="zh-CN" w:bidi="ar"/>
        </w:rPr>
        <w:t>工商业</w:t>
      </w:r>
      <w:r>
        <w:rPr>
          <w:rFonts w:hint="default" w:ascii="Times New Roman" w:hAnsi="Times New Roman" w:eastAsia="仿宋_GB2312" w:cs="仿宋_GB2312"/>
          <w:sz w:val="32"/>
          <w:szCs w:val="32"/>
          <w:highlight w:val="none"/>
          <w:lang w:val="en-US" w:eastAsia="zh-CN" w:bidi="ar"/>
        </w:rPr>
        <w:t>用户用电价格稳定，</w:t>
      </w:r>
      <w:bookmarkStart w:id="0" w:name="OLE_LINK3"/>
      <w:r>
        <w:rPr>
          <w:rFonts w:hint="eastAsia" w:ascii="Times New Roman" w:hAnsi="Times New Roman" w:eastAsia="仿宋_GB2312" w:cs="仿宋_GB2312"/>
          <w:sz w:val="32"/>
          <w:szCs w:val="32"/>
          <w:highlight w:val="none"/>
          <w:lang w:val="en-US" w:eastAsia="zh-CN" w:bidi="ar"/>
        </w:rPr>
        <w:t>燃气电厂</w:t>
      </w:r>
      <w:bookmarkEnd w:id="0"/>
      <w:r>
        <w:rPr>
          <w:rFonts w:hint="eastAsia" w:ascii="Times New Roman" w:hAnsi="Times New Roman" w:eastAsia="仿宋_GB2312" w:cs="仿宋_GB2312"/>
          <w:sz w:val="32"/>
          <w:szCs w:val="32"/>
          <w:highlight w:val="none"/>
          <w:lang w:val="en-US" w:eastAsia="zh-CN" w:bidi="ar"/>
        </w:rPr>
        <w:t>应结合</w:t>
      </w:r>
      <w:r>
        <w:rPr>
          <w:rFonts w:hint="eastAsia" w:ascii="Times New Roman" w:hAnsi="Times New Roman" w:eastAsia="仿宋_GB2312" w:cs="仿宋_GB2312"/>
          <w:sz w:val="32"/>
          <w:szCs w:val="32"/>
          <w:highlight w:val="none"/>
          <w:lang w:eastAsia="zh-CN" w:bidi="ar"/>
        </w:rPr>
        <w:t>自身实发电量，</w:t>
      </w:r>
      <w:r>
        <w:rPr>
          <w:rFonts w:hint="eastAsia" w:ascii="Times New Roman" w:hAnsi="Times New Roman" w:eastAsia="仿宋_GB2312" w:cs="仿宋_GB2312"/>
          <w:sz w:val="32"/>
          <w:szCs w:val="32"/>
          <w:highlight w:val="none"/>
          <w:lang w:val="en-US" w:eastAsia="zh-CN" w:bidi="ar"/>
        </w:rPr>
        <w:t>在各自当年优先发电计划内，按照能源价格政策允许范围内参与省间电力现货交易；在相关能源价格政策未明确前，燃气电厂暂不参与省间电力现货交易。</w:t>
      </w:r>
    </w:p>
    <w:p w14:paraId="2302F3DD">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left="0" w:firstLine="640" w:firstLineChars="200"/>
        <w:textAlignment w:val="auto"/>
        <w:rPr>
          <w:rFonts w:hint="default" w:ascii="Times New Roman" w:hAnsi="Times New Roman" w:eastAsia="仿宋_GB2312" w:cs="仿宋_GB2312"/>
          <w:sz w:val="32"/>
          <w:szCs w:val="32"/>
          <w:highlight w:val="none"/>
          <w:lang w:val="en-US" w:eastAsia="zh-CN" w:bidi="ar"/>
        </w:rPr>
      </w:pPr>
      <w:r>
        <w:rPr>
          <w:rFonts w:hint="default" w:ascii="Times New Roman" w:hAnsi="Times New Roman" w:eastAsia="仿宋_GB2312" w:cs="仿宋_GB2312"/>
          <w:sz w:val="32"/>
          <w:szCs w:val="32"/>
          <w:highlight w:val="none"/>
          <w:lang w:val="en-US" w:eastAsia="zh-CN" w:bidi="ar"/>
        </w:rPr>
        <w:t>本地电力现货市场</w:t>
      </w:r>
      <w:r>
        <w:rPr>
          <w:rFonts w:hint="eastAsia" w:ascii="Times New Roman" w:hAnsi="Times New Roman" w:eastAsia="仿宋_GB2312" w:cs="仿宋_GB2312"/>
          <w:sz w:val="32"/>
          <w:szCs w:val="32"/>
          <w:highlight w:val="none"/>
          <w:lang w:val="en-US" w:eastAsia="zh-CN" w:bidi="ar"/>
        </w:rPr>
        <w:t>转正式</w:t>
      </w:r>
      <w:r>
        <w:rPr>
          <w:rFonts w:hint="default" w:ascii="Times New Roman" w:hAnsi="Times New Roman" w:eastAsia="仿宋_GB2312" w:cs="仿宋_GB2312"/>
          <w:sz w:val="32"/>
          <w:szCs w:val="32"/>
          <w:highlight w:val="none"/>
          <w:lang w:val="en-US" w:eastAsia="zh-CN" w:bidi="ar"/>
        </w:rPr>
        <w:t>运行前</w:t>
      </w:r>
      <w:r>
        <w:rPr>
          <w:rFonts w:hint="eastAsia" w:ascii="Times New Roman" w:hAnsi="Times New Roman" w:eastAsia="仿宋_GB2312" w:cs="仿宋_GB2312"/>
          <w:sz w:val="32"/>
          <w:szCs w:val="32"/>
          <w:highlight w:val="none"/>
          <w:lang w:val="en-US" w:eastAsia="zh-CN" w:bidi="ar"/>
        </w:rPr>
        <w:t>，</w:t>
      </w:r>
      <w:r>
        <w:rPr>
          <w:rFonts w:hint="default" w:ascii="Times New Roman" w:hAnsi="Times New Roman" w:eastAsia="仿宋_GB2312" w:cs="仿宋_GB2312"/>
          <w:sz w:val="32"/>
          <w:szCs w:val="32"/>
          <w:highlight w:val="none"/>
          <w:lang w:val="en-US" w:eastAsia="zh-CN" w:bidi="ar"/>
        </w:rPr>
        <w:t>新能源发电</w:t>
      </w:r>
      <w:r>
        <w:rPr>
          <w:rFonts w:hint="eastAsia" w:ascii="Times New Roman" w:hAnsi="Times New Roman" w:eastAsia="仿宋_GB2312" w:cs="仿宋_GB2312"/>
          <w:sz w:val="32"/>
          <w:szCs w:val="32"/>
          <w:highlight w:val="none"/>
          <w:lang w:val="en-US" w:eastAsia="zh-CN" w:bidi="ar"/>
        </w:rPr>
        <w:t>企业暂不参与省间现货购电交易</w:t>
      </w:r>
      <w:r>
        <w:rPr>
          <w:rFonts w:hint="default" w:ascii="Times New Roman" w:hAnsi="Times New Roman" w:eastAsia="仿宋_GB2312" w:cs="仿宋_GB2312"/>
          <w:sz w:val="32"/>
          <w:szCs w:val="32"/>
          <w:highlight w:val="none"/>
          <w:lang w:val="en-US" w:eastAsia="zh-CN" w:bidi="ar"/>
        </w:rPr>
        <w:t>。</w:t>
      </w:r>
    </w:p>
    <w:p w14:paraId="6A978DC1">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left="0" w:firstLine="640" w:firstLineChars="200"/>
        <w:textAlignment w:val="auto"/>
        <w:rPr>
          <w:rFonts w:hint="default" w:ascii="Times New Roman" w:hAnsi="Times New Roman" w:eastAsia="仿宋_GB2312" w:cs="仿宋_GB2312"/>
          <w:sz w:val="32"/>
          <w:szCs w:val="32"/>
          <w:highlight w:val="none"/>
          <w:lang w:val="en-US" w:eastAsia="zh-CN" w:bidi="ar"/>
        </w:rPr>
      </w:pPr>
      <w:r>
        <w:rPr>
          <w:rFonts w:hint="default" w:ascii="Times New Roman" w:hAnsi="Times New Roman" w:eastAsia="仿宋_GB2312" w:cs="仿宋_GB2312"/>
          <w:sz w:val="32"/>
          <w:szCs w:val="32"/>
          <w:highlight w:val="none"/>
          <w:lang w:val="en-US" w:eastAsia="zh-CN" w:bidi="ar"/>
        </w:rPr>
        <w:t>天津电力平衡无缺口且不存在新能源消纳困难的情况时，天津电网原则上作为买方节点参与省间现货市场。</w:t>
      </w:r>
      <w:bookmarkStart w:id="1" w:name="OLE_LINK2"/>
      <w:r>
        <w:rPr>
          <w:rFonts w:hint="eastAsia" w:ascii="Times New Roman" w:hAnsi="Times New Roman" w:eastAsia="仿宋_GB2312" w:cs="仿宋_GB2312"/>
          <w:sz w:val="32"/>
          <w:szCs w:val="32"/>
          <w:highlight w:val="none"/>
          <w:lang w:val="en-US" w:eastAsia="zh-CN" w:bidi="ar"/>
        </w:rPr>
        <w:t>可按照用户侧月前购电交易未成交电量参与省间现货购电，以缩小合同电量与实际用电需求的偏差</w:t>
      </w:r>
      <w:r>
        <w:rPr>
          <w:rFonts w:hint="eastAsia" w:eastAsia="仿宋_GB2312" w:cs="仿宋_GB2312"/>
          <w:sz w:val="32"/>
          <w:szCs w:val="32"/>
          <w:highlight w:val="none"/>
          <w:lang w:val="en-US" w:eastAsia="zh-CN" w:bidi="ar"/>
        </w:rPr>
        <w:t>；</w:t>
      </w:r>
      <w:r>
        <w:rPr>
          <w:rFonts w:hint="eastAsia" w:ascii="Times New Roman" w:hAnsi="Times New Roman" w:eastAsia="仿宋_GB2312" w:cs="仿宋_GB2312"/>
          <w:sz w:val="32"/>
          <w:szCs w:val="32"/>
          <w:highlight w:val="none"/>
          <w:lang w:val="en-US" w:eastAsia="zh-CN" w:bidi="ar"/>
        </w:rPr>
        <w:t>也可在月前预留部分用户侧购电交易需求或结合月内实际用电需求变化合理参与省间现货购电，以优化合同电量结构、调整实际用电需求偏差。</w:t>
      </w:r>
      <w:r>
        <w:rPr>
          <w:rFonts w:hint="default" w:ascii="Times New Roman" w:hAnsi="Times New Roman" w:eastAsia="仿宋_GB2312" w:cs="仿宋_GB2312"/>
          <w:sz w:val="32"/>
          <w:szCs w:val="32"/>
          <w:highlight w:val="none"/>
          <w:lang w:val="en-US" w:eastAsia="zh-CN" w:bidi="ar"/>
        </w:rPr>
        <w:t>电网企业买入电力</w:t>
      </w:r>
      <w:bookmarkEnd w:id="1"/>
      <w:r>
        <w:rPr>
          <w:rFonts w:hint="default" w:ascii="Times New Roman" w:hAnsi="Times New Roman" w:eastAsia="仿宋_GB2312" w:cs="仿宋_GB2312"/>
          <w:sz w:val="32"/>
          <w:szCs w:val="32"/>
          <w:highlight w:val="none"/>
          <w:lang w:val="en-US" w:eastAsia="zh-CN" w:bidi="ar"/>
        </w:rPr>
        <w:t>报价</w:t>
      </w:r>
      <w:r>
        <w:rPr>
          <w:rFonts w:hint="eastAsia" w:ascii="Times New Roman" w:hAnsi="Times New Roman" w:eastAsia="仿宋_GB2312" w:cs="仿宋_GB2312"/>
          <w:sz w:val="32"/>
          <w:szCs w:val="32"/>
          <w:highlight w:val="none"/>
          <w:lang w:val="en-US" w:eastAsia="zh-CN" w:bidi="ar"/>
        </w:rPr>
        <w:t>原则上不超过本市发电机组最高上网电价（不含容量电价）</w:t>
      </w:r>
      <w:r>
        <w:rPr>
          <w:rFonts w:hint="default" w:ascii="Times New Roman" w:hAnsi="Times New Roman" w:eastAsia="仿宋_GB2312" w:cs="仿宋_GB2312"/>
          <w:sz w:val="32"/>
          <w:szCs w:val="32"/>
          <w:highlight w:val="none"/>
          <w:lang w:val="en-US" w:eastAsia="zh-CN" w:bidi="ar"/>
        </w:rPr>
        <w:t>，并按照实际供需情况调整，产生的损益由全体工商业用户承担。</w:t>
      </w:r>
    </w:p>
    <w:p w14:paraId="50CBBFCF">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left="0" w:firstLine="640" w:firstLineChars="200"/>
        <w:textAlignment w:val="auto"/>
        <w:rPr>
          <w:rFonts w:hint="default" w:ascii="Times New Roman" w:hAnsi="Times New Roman" w:eastAsia="仿宋_GB2312" w:cs="仿宋_GB2312"/>
          <w:sz w:val="32"/>
          <w:szCs w:val="32"/>
          <w:highlight w:val="none"/>
          <w:lang w:val="en-US" w:eastAsia="zh-CN" w:bidi="ar"/>
        </w:rPr>
      </w:pPr>
      <w:r>
        <w:rPr>
          <w:rFonts w:hint="default" w:ascii="Times New Roman" w:hAnsi="Times New Roman" w:eastAsia="仿宋_GB2312" w:cs="仿宋_GB2312"/>
          <w:sz w:val="32"/>
          <w:szCs w:val="32"/>
          <w:highlight w:val="none"/>
          <w:lang w:val="en-US" w:eastAsia="zh-CN" w:bidi="ar"/>
        </w:rPr>
        <w:t>天津电力平衡有缺口时，电网企业统筹考虑网内用户用电需求及省间电力现货价格水平后进行申报，成交电力用于消减本地用电缺口，购电产生的损益由全体工商业用户分摊。</w:t>
      </w:r>
    </w:p>
    <w:p w14:paraId="6E4424B3">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left="0" w:firstLine="640" w:firstLineChars="200"/>
        <w:textAlignment w:val="auto"/>
        <w:rPr>
          <w:rFonts w:hint="default" w:ascii="Times New Roman" w:hAnsi="Times New Roman" w:eastAsia="仿宋_GB2312" w:cs="仿宋_GB2312"/>
          <w:sz w:val="32"/>
          <w:szCs w:val="32"/>
          <w:highlight w:val="none"/>
          <w:lang w:val="en-US" w:eastAsia="zh-CN" w:bidi="ar"/>
        </w:rPr>
      </w:pPr>
      <w:r>
        <w:rPr>
          <w:rFonts w:hint="default" w:ascii="Times New Roman" w:hAnsi="Times New Roman" w:eastAsia="仿宋_GB2312" w:cs="仿宋_GB2312"/>
          <w:sz w:val="32"/>
          <w:szCs w:val="32"/>
          <w:highlight w:val="none"/>
          <w:lang w:val="en-US" w:eastAsia="zh-CN" w:bidi="ar"/>
        </w:rPr>
        <w:t>参与省间现货售电的火电企业须确保电煤库存、燃气供应充裕，电煤库存满足《国家发展改革委办公厅关于完善燃煤电厂安全存煤要求的通知》（发改办运行〔2021〕773号）和国家、地方政府电力主管部门相关规定中最低库存要求。按照优先满足中长期交易电量的原则，当月未来负荷率高于85%的火电企业，原则上不参与省间现货售电。发电企业对外售电有成交的，将发电机组预计划叠加省间现货市场出清结果后作为正式计划执行</w:t>
      </w:r>
      <w:r>
        <w:rPr>
          <w:rFonts w:hint="eastAsia" w:ascii="Times New Roman" w:hAnsi="Times New Roman" w:eastAsia="仿宋_GB2312" w:cs="仿宋_GB2312"/>
          <w:sz w:val="32"/>
          <w:szCs w:val="32"/>
          <w:highlight w:val="none"/>
          <w:lang w:val="en-US" w:eastAsia="zh-CN" w:bidi="ar"/>
        </w:rPr>
        <w:t>。</w:t>
      </w:r>
    </w:p>
    <w:p w14:paraId="7CAB1D31">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left="0" w:firstLine="640" w:firstLineChars="200"/>
        <w:textAlignment w:val="auto"/>
        <w:rPr>
          <w:rFonts w:hint="default" w:ascii="Times New Roman" w:hAnsi="Times New Roman" w:eastAsia="仿宋_GB2312" w:cs="仿宋_GB2312"/>
          <w:sz w:val="32"/>
          <w:szCs w:val="32"/>
          <w:highlight w:val="none"/>
          <w:lang w:val="en-US" w:eastAsia="zh-CN" w:bidi="ar"/>
        </w:rPr>
      </w:pPr>
      <w:r>
        <w:rPr>
          <w:rFonts w:hint="default" w:ascii="Times New Roman" w:hAnsi="Times New Roman" w:eastAsia="仿宋_GB2312" w:cs="仿宋_GB2312"/>
          <w:sz w:val="32"/>
          <w:szCs w:val="32"/>
          <w:highlight w:val="none"/>
          <w:lang w:val="en-US" w:eastAsia="zh-CN" w:bidi="ar"/>
        </w:rPr>
        <w:t>火电企业当月未来负荷率小于等于30%时，为保障后续保安全、保供应、保供热发电需求，原则上不参与省间现货购电。发电企业对外购电有成交的，省间现货电量与中长期交易电量（燃气电厂为基数电合同）共同滚动执行，买入电能量的火电企业按照省间现货成交结果扣减发电份额。其中，购入省间现货的燃气电厂基数电合同电量和现货电量部分参照中长期交易工作方案中批发交易发电侧结算相关条款执行</w:t>
      </w:r>
      <w:r>
        <w:rPr>
          <w:rFonts w:hint="eastAsia" w:ascii="Times New Roman" w:hAnsi="Times New Roman" w:eastAsia="仿宋_GB2312" w:cs="仿宋_GB2312"/>
          <w:sz w:val="32"/>
          <w:szCs w:val="32"/>
          <w:highlight w:val="none"/>
          <w:lang w:val="en-US" w:eastAsia="zh-CN" w:bidi="ar"/>
        </w:rPr>
        <w:t>，其超发电量执行政府批复电价</w:t>
      </w:r>
      <w:r>
        <w:rPr>
          <w:rFonts w:hint="default" w:ascii="Times New Roman" w:hAnsi="Times New Roman" w:eastAsia="仿宋_GB2312" w:cs="仿宋_GB2312"/>
          <w:sz w:val="32"/>
          <w:szCs w:val="32"/>
          <w:highlight w:val="none"/>
          <w:lang w:val="en-US" w:eastAsia="zh-CN" w:bidi="ar"/>
        </w:rPr>
        <w:t>。</w:t>
      </w:r>
    </w:p>
    <w:p w14:paraId="5784DE17">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left="0" w:firstLine="640" w:firstLineChars="200"/>
        <w:textAlignment w:val="auto"/>
        <w:rPr>
          <w:rFonts w:hint="default" w:ascii="Times New Roman" w:hAnsi="Times New Roman" w:eastAsia="仿宋_GB2312" w:cs="仿宋_GB2312"/>
          <w:sz w:val="32"/>
          <w:szCs w:val="32"/>
          <w:highlight w:val="none"/>
          <w:lang w:val="en-US" w:eastAsia="zh-CN" w:bidi="ar"/>
        </w:rPr>
      </w:pPr>
      <w:r>
        <w:rPr>
          <w:rFonts w:hint="default" w:ascii="Times New Roman" w:hAnsi="Times New Roman" w:eastAsia="仿宋_GB2312" w:cs="仿宋_GB2312"/>
          <w:sz w:val="32"/>
          <w:szCs w:val="32"/>
          <w:highlight w:val="none"/>
          <w:lang w:val="en-US" w:eastAsia="zh-CN" w:bidi="ar"/>
        </w:rPr>
        <w:t>省间电力现货交易申报、出清、安全校核、交易执行与偏差处理等按照《省间电力现货交易规则》执行。</w:t>
      </w:r>
    </w:p>
    <w:p w14:paraId="0E50F1BA">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60" w:lineRule="exact"/>
        <w:ind w:left="420" w:leftChars="200" w:firstLine="0" w:firstLineChars="0"/>
        <w:textAlignment w:val="auto"/>
        <w:rPr>
          <w:rFonts w:hint="default" w:ascii="Times New Roman" w:hAnsi="Times New Roman" w:eastAsia="仿宋_GB2312" w:cs="仿宋_GB2312"/>
          <w:sz w:val="32"/>
          <w:szCs w:val="32"/>
          <w:highlight w:val="none"/>
          <w:lang w:val="en-US" w:eastAsia="zh-CN" w:bidi="ar"/>
        </w:rPr>
      </w:pPr>
    </w:p>
    <w:p w14:paraId="6DAC5192">
      <w:pPr>
        <w:keepNext w:val="0"/>
        <w:keepLines w:val="0"/>
        <w:pageBreakBefore w:val="0"/>
        <w:widowControl w:val="0"/>
        <w:tabs>
          <w:tab w:val="left" w:pos="1704"/>
        </w:tabs>
        <w:kinsoku/>
        <w:wordWrap/>
        <w:overflowPunct/>
        <w:topLinePunct w:val="0"/>
        <w:autoSpaceDE/>
        <w:autoSpaceDN/>
        <w:bidi w:val="0"/>
        <w:adjustRightInd w:val="0"/>
        <w:snapToGrid w:val="0"/>
        <w:spacing w:beforeLines="0" w:afterLines="0" w:line="560" w:lineRule="exact"/>
        <w:jc w:val="center"/>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lang w:bidi="ar"/>
        </w:rPr>
        <w:t>第四章  计量方法与费用结算</w:t>
      </w:r>
    </w:p>
    <w:p w14:paraId="71EC0718">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left="0" w:firstLine="640" w:firstLineChars="200"/>
        <w:textAlignment w:val="auto"/>
        <w:rPr>
          <w:rFonts w:hint="default" w:ascii="Times New Roman" w:hAnsi="Times New Roman" w:eastAsia="仿宋_GB2312" w:cs="仿宋_GB2312"/>
          <w:sz w:val="32"/>
          <w:szCs w:val="32"/>
          <w:highlight w:val="none"/>
          <w:lang w:val="en-US" w:eastAsia="zh-CN" w:bidi="ar"/>
        </w:rPr>
      </w:pPr>
      <w:r>
        <w:rPr>
          <w:rFonts w:hint="default" w:ascii="Times New Roman" w:hAnsi="Times New Roman" w:eastAsia="仿宋_GB2312" w:cs="仿宋_GB2312"/>
          <w:sz w:val="32"/>
          <w:szCs w:val="32"/>
          <w:highlight w:val="none"/>
          <w:lang w:val="en-US" w:eastAsia="zh-CN" w:bidi="ar"/>
        </w:rPr>
        <w:t>计量装置设置、计量数据、计量责任及抄表管理按照《省间电力现货交易规则》相关条款执行。</w:t>
      </w:r>
    </w:p>
    <w:p w14:paraId="05BE4DDC">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left="0" w:firstLine="640" w:firstLineChars="200"/>
        <w:textAlignment w:val="auto"/>
        <w:rPr>
          <w:rFonts w:hint="default" w:ascii="Times New Roman" w:hAnsi="Times New Roman" w:eastAsia="仿宋_GB2312" w:cs="仿宋_GB2312"/>
          <w:sz w:val="32"/>
          <w:szCs w:val="32"/>
          <w:highlight w:val="none"/>
          <w:lang w:val="en-US" w:eastAsia="zh-CN" w:bidi="ar"/>
        </w:rPr>
      </w:pPr>
      <w:r>
        <w:rPr>
          <w:rFonts w:hint="default" w:ascii="Times New Roman" w:hAnsi="Times New Roman" w:eastAsia="仿宋_GB2312" w:cs="仿宋_GB2312"/>
          <w:sz w:val="32"/>
          <w:szCs w:val="32"/>
          <w:highlight w:val="none"/>
          <w:lang w:val="en-US" w:eastAsia="zh-CN" w:bidi="ar"/>
        </w:rPr>
        <w:t>本地电力现货市场运行前，省间电力现货交易结算采用月清月结方式；本地电力现货市场运行后，省间电力现货交易结算采用日清月结方式</w:t>
      </w:r>
      <w:r>
        <w:rPr>
          <w:rFonts w:hint="eastAsia" w:ascii="Times New Roman" w:hAnsi="Times New Roman" w:eastAsia="仿宋_GB2312" w:cs="仿宋_GB2312"/>
          <w:sz w:val="32"/>
          <w:szCs w:val="32"/>
          <w:highlight w:val="none"/>
          <w:lang w:val="en-US" w:eastAsia="zh-CN" w:bidi="ar"/>
        </w:rPr>
        <w:t>。</w:t>
      </w:r>
      <w:r>
        <w:rPr>
          <w:rFonts w:hint="default" w:ascii="Times New Roman" w:hAnsi="Times New Roman" w:eastAsia="仿宋_GB2312" w:cs="仿宋_GB2312"/>
          <w:sz w:val="32"/>
          <w:szCs w:val="32"/>
          <w:highlight w:val="none"/>
          <w:lang w:val="en-US" w:eastAsia="zh-CN" w:bidi="ar"/>
        </w:rPr>
        <w:t>由天津电力交易中心出具结算依据，并向经营主体发布。</w:t>
      </w:r>
    </w:p>
    <w:p w14:paraId="22EF9C91">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left="0" w:firstLine="640" w:firstLineChars="200"/>
        <w:textAlignment w:val="auto"/>
        <w:rPr>
          <w:rFonts w:hint="default" w:ascii="Times New Roman" w:hAnsi="Times New Roman" w:eastAsia="仿宋_GB2312" w:cs="仿宋_GB2312"/>
          <w:sz w:val="32"/>
          <w:szCs w:val="32"/>
          <w:highlight w:val="none"/>
          <w:lang w:val="en-US" w:eastAsia="zh-CN" w:bidi="ar"/>
        </w:rPr>
      </w:pPr>
      <w:r>
        <w:rPr>
          <w:rFonts w:hint="default" w:ascii="Times New Roman" w:hAnsi="Times New Roman" w:eastAsia="仿宋_GB2312" w:cs="仿宋_GB2312"/>
          <w:sz w:val="32"/>
          <w:szCs w:val="32"/>
          <w:highlight w:val="none"/>
          <w:lang w:val="en-US" w:eastAsia="zh-CN" w:bidi="ar"/>
        </w:rPr>
        <w:t>偏差处理原则按照《省间电力现货交易规则》相关条款执行。</w:t>
      </w:r>
    </w:p>
    <w:p w14:paraId="365A9916">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left="0" w:firstLine="640" w:firstLineChars="200"/>
        <w:textAlignment w:val="auto"/>
        <w:rPr>
          <w:rFonts w:hint="default" w:ascii="Times New Roman" w:hAnsi="Times New Roman" w:eastAsia="仿宋_GB2312" w:cs="仿宋_GB2312"/>
          <w:sz w:val="32"/>
          <w:szCs w:val="32"/>
          <w:highlight w:val="none"/>
          <w:lang w:val="en-US" w:eastAsia="zh-CN" w:bidi="ar"/>
        </w:rPr>
      </w:pPr>
      <w:r>
        <w:rPr>
          <w:rFonts w:hint="default" w:ascii="Times New Roman" w:hAnsi="Times New Roman" w:eastAsia="仿宋_GB2312" w:cs="仿宋_GB2312"/>
          <w:sz w:val="32"/>
          <w:szCs w:val="32"/>
          <w:highlight w:val="none"/>
          <w:lang w:val="en-US" w:eastAsia="zh-CN" w:bidi="ar"/>
        </w:rPr>
        <w:t>国网华北分部、天津市调按照调管范围于D+1日将D日市场交易结果和实际执行情况等信息提供给天津电力交易中心。</w:t>
      </w:r>
    </w:p>
    <w:p w14:paraId="0370BB32">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left="0" w:firstLine="640" w:firstLineChars="200"/>
        <w:textAlignment w:val="auto"/>
        <w:rPr>
          <w:rFonts w:hint="default" w:ascii="Times New Roman" w:hAnsi="Times New Roman" w:eastAsia="仿宋_GB2312" w:cs="仿宋_GB2312"/>
          <w:sz w:val="32"/>
          <w:szCs w:val="32"/>
          <w:highlight w:val="none"/>
          <w:lang w:val="en-US" w:eastAsia="zh-CN" w:bidi="ar"/>
        </w:rPr>
      </w:pPr>
      <w:r>
        <w:rPr>
          <w:rFonts w:hint="default" w:ascii="Times New Roman" w:hAnsi="Times New Roman" w:eastAsia="仿宋_GB2312" w:cs="仿宋_GB2312"/>
          <w:sz w:val="32"/>
          <w:szCs w:val="32"/>
          <w:highlight w:val="none"/>
          <w:lang w:val="en-US" w:eastAsia="zh-CN" w:bidi="ar"/>
        </w:rPr>
        <w:t>天津电力交易中心按照市场实际执行的电力、电价进行结算，向各经营主体提供结算依据。当联络线计划调整或数据取整导致执行结果与交易结果存在偏差时，由调度机构根据电网运行实际情况进行偏差分解，经营主体按照成交电力占总成交电力比例分担偏差。发电企业实际发电低于省间现货交易电力时，按照省间现货跨区跨省通道实际执行结果结算，少发电量通过调增其他京津唐电网及华北直调特高压配套电源出力补足，因此造成的发电企业偏差电量部分，按照中长期交易偏差处理原则执行。</w:t>
      </w:r>
    </w:p>
    <w:p w14:paraId="54772D04">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left="0" w:firstLine="640" w:firstLineChars="200"/>
        <w:textAlignment w:val="auto"/>
        <w:rPr>
          <w:rFonts w:hint="default" w:ascii="Times New Roman" w:hAnsi="Times New Roman" w:eastAsia="仿宋_GB2312" w:cs="仿宋_GB2312"/>
          <w:sz w:val="32"/>
          <w:szCs w:val="32"/>
          <w:highlight w:val="none"/>
          <w:lang w:val="en-US" w:eastAsia="zh-CN" w:bidi="ar"/>
        </w:rPr>
      </w:pPr>
      <w:r>
        <w:rPr>
          <w:rFonts w:hint="default" w:ascii="Times New Roman" w:hAnsi="Times New Roman" w:eastAsia="仿宋_GB2312" w:cs="仿宋_GB2312"/>
          <w:sz w:val="32"/>
          <w:szCs w:val="32"/>
          <w:highlight w:val="none"/>
          <w:lang w:val="en-US" w:eastAsia="zh-CN" w:bidi="ar"/>
        </w:rPr>
        <w:t>国网天津市电力公司负责与各类交易主体结算相关费用。</w:t>
      </w:r>
    </w:p>
    <w:p w14:paraId="088BA2CA">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left="0" w:firstLine="640" w:firstLineChars="200"/>
        <w:textAlignment w:val="auto"/>
        <w:rPr>
          <w:rFonts w:hint="default" w:ascii="Times New Roman" w:hAnsi="Times New Roman" w:eastAsia="仿宋_GB2312" w:cs="仿宋_GB2312"/>
          <w:sz w:val="32"/>
          <w:szCs w:val="32"/>
          <w:highlight w:val="none"/>
          <w:lang w:val="en-US" w:eastAsia="zh-CN" w:bidi="ar"/>
        </w:rPr>
      </w:pPr>
      <w:r>
        <w:rPr>
          <w:rFonts w:hint="default" w:ascii="Times New Roman" w:hAnsi="Times New Roman" w:eastAsia="仿宋_GB2312" w:cs="仿宋_GB2312"/>
          <w:sz w:val="32"/>
          <w:szCs w:val="32"/>
          <w:highlight w:val="none"/>
          <w:lang w:val="en-US" w:eastAsia="zh-CN" w:bidi="ar"/>
        </w:rPr>
        <w:t>省间电力现货交易结算不改变其他正常供用电结算关系，与正常电费结算互不影响。天津地区发电企业外送电量按照交易电量承担天津市系统运行费和上网环节线损费用</w:t>
      </w:r>
      <w:r>
        <w:rPr>
          <w:rFonts w:hint="eastAsia" w:ascii="Times New Roman" w:hAnsi="Times New Roman" w:eastAsia="仿宋_GB2312" w:cs="仿宋_GB2312"/>
          <w:sz w:val="32"/>
          <w:szCs w:val="32"/>
          <w:highlight w:val="none"/>
          <w:lang w:val="en-US" w:eastAsia="zh-CN" w:bidi="ar"/>
        </w:rPr>
        <w:t>，发电企业在参与省间电力现货交易时应统筹考虑。</w:t>
      </w:r>
    </w:p>
    <w:p w14:paraId="061F7909">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left="0" w:firstLine="640" w:firstLineChars="200"/>
        <w:textAlignment w:val="auto"/>
        <w:rPr>
          <w:rFonts w:hint="default" w:ascii="Times New Roman" w:hAnsi="Times New Roman" w:eastAsia="仿宋_GB2312" w:cs="仿宋_GB2312"/>
          <w:sz w:val="32"/>
          <w:szCs w:val="32"/>
          <w:highlight w:val="none"/>
          <w:lang w:val="en-US" w:eastAsia="zh-CN" w:bidi="ar"/>
        </w:rPr>
      </w:pPr>
      <w:r>
        <w:rPr>
          <w:rFonts w:hint="default" w:ascii="Times New Roman" w:hAnsi="Times New Roman" w:eastAsia="仿宋_GB2312" w:cs="仿宋_GB2312"/>
          <w:sz w:val="32"/>
          <w:szCs w:val="32"/>
          <w:highlight w:val="none"/>
          <w:lang w:val="en-US" w:eastAsia="zh-CN" w:bidi="ar"/>
        </w:rPr>
        <w:t>电网企业作为买方参与省间电力现货交易，相关电量、电费及市场出清产生的损益按照电网企业代理购电相关规定执行，由全体工商业用户分摊或分享。</w:t>
      </w:r>
    </w:p>
    <w:p w14:paraId="4580C519">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60" w:lineRule="exact"/>
        <w:ind w:left="420" w:leftChars="200" w:firstLine="0" w:firstLineChars="0"/>
        <w:textAlignment w:val="auto"/>
        <w:rPr>
          <w:rFonts w:hint="default" w:ascii="Times New Roman" w:hAnsi="Times New Roman" w:eastAsia="仿宋_GB2312" w:cs="仿宋_GB2312"/>
          <w:sz w:val="32"/>
          <w:szCs w:val="32"/>
          <w:highlight w:val="none"/>
          <w:lang w:val="en-US" w:eastAsia="zh-CN" w:bidi="ar"/>
        </w:rPr>
      </w:pPr>
    </w:p>
    <w:p w14:paraId="256071D1">
      <w:pPr>
        <w:keepNext w:val="0"/>
        <w:keepLines w:val="0"/>
        <w:pageBreakBefore w:val="0"/>
        <w:widowControl w:val="0"/>
        <w:tabs>
          <w:tab w:val="left" w:pos="1704"/>
        </w:tabs>
        <w:kinsoku/>
        <w:wordWrap/>
        <w:overflowPunct/>
        <w:topLinePunct w:val="0"/>
        <w:autoSpaceDE/>
        <w:autoSpaceDN/>
        <w:bidi w:val="0"/>
        <w:adjustRightInd w:val="0"/>
        <w:snapToGrid w:val="0"/>
        <w:spacing w:beforeLines="0" w:afterLines="0" w:line="560" w:lineRule="exact"/>
        <w:jc w:val="center"/>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lang w:bidi="ar"/>
        </w:rPr>
        <w:t>第五章  信息报告和披露</w:t>
      </w:r>
    </w:p>
    <w:p w14:paraId="3CEAE38B">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left="0" w:firstLine="640" w:firstLineChars="200"/>
        <w:textAlignment w:val="auto"/>
        <w:rPr>
          <w:rFonts w:hint="default" w:ascii="Times New Roman" w:hAnsi="Times New Roman" w:eastAsia="仿宋_GB2312" w:cs="仿宋_GB2312"/>
          <w:sz w:val="32"/>
          <w:szCs w:val="32"/>
          <w:highlight w:val="none"/>
          <w:lang w:val="en-US" w:eastAsia="zh-CN" w:bidi="ar"/>
        </w:rPr>
      </w:pPr>
      <w:r>
        <w:rPr>
          <w:rFonts w:hint="default" w:ascii="Times New Roman" w:hAnsi="Times New Roman" w:eastAsia="仿宋_GB2312" w:cs="仿宋_GB2312"/>
          <w:sz w:val="32"/>
          <w:szCs w:val="32"/>
          <w:highlight w:val="none"/>
          <w:lang w:val="en-US" w:eastAsia="zh-CN" w:bidi="ar"/>
        </w:rPr>
        <w:t>国网天津市电力公司应于次月将上月省间现货交易组织情况、成交情况报送市工业和信息化局。</w:t>
      </w:r>
    </w:p>
    <w:p w14:paraId="407C56BD">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left="0" w:firstLine="640" w:firstLineChars="200"/>
        <w:textAlignment w:val="auto"/>
        <w:rPr>
          <w:rFonts w:hint="default" w:ascii="Times New Roman" w:hAnsi="Times New Roman" w:eastAsia="仿宋_GB2312" w:cs="仿宋_GB2312"/>
          <w:sz w:val="32"/>
          <w:szCs w:val="32"/>
          <w:highlight w:val="none"/>
          <w:lang w:val="en-US" w:eastAsia="zh-CN" w:bidi="ar"/>
        </w:rPr>
      </w:pPr>
      <w:r>
        <w:rPr>
          <w:rFonts w:hint="default" w:ascii="Times New Roman" w:hAnsi="Times New Roman" w:eastAsia="仿宋_GB2312" w:cs="仿宋_GB2312"/>
          <w:sz w:val="32"/>
          <w:szCs w:val="32"/>
          <w:highlight w:val="none"/>
          <w:lang w:val="en-US" w:eastAsia="zh-CN" w:bidi="ar"/>
        </w:rPr>
        <w:t>天津电力交易中心应按照《省间电力现货交易规则》负责省间电力现货信息披露的实施，通过信息披露平台发布信息。根据省间电力现货交易运行情况，逐步完善信息披露管理工作。</w:t>
      </w:r>
    </w:p>
    <w:p w14:paraId="74474D6B"/>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924A59"/>
    <w:multiLevelType w:val="multilevel"/>
    <w:tmpl w:val="C7924A59"/>
    <w:lvl w:ilvl="0" w:tentative="0">
      <w:start w:val="1"/>
      <w:numFmt w:val="chineseCounting"/>
      <w:suff w:val="nothing"/>
      <w:lvlText w:val="（%1）"/>
      <w:lvlJc w:val="left"/>
      <w:pPr>
        <w:ind w:left="0" w:firstLine="4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F93C5A44"/>
    <w:multiLevelType w:val="singleLevel"/>
    <w:tmpl w:val="F93C5A44"/>
    <w:lvl w:ilvl="0" w:tentative="0">
      <w:start w:val="1"/>
      <w:numFmt w:val="chineseCounting"/>
      <w:suff w:val="nothing"/>
      <w:lvlText w:val="（%1）"/>
      <w:lvlJc w:val="left"/>
      <w:pPr>
        <w:ind w:left="0" w:firstLine="420"/>
      </w:pPr>
      <w:rPr>
        <w:rFonts w:hint="eastAsia"/>
      </w:rPr>
    </w:lvl>
  </w:abstractNum>
  <w:abstractNum w:abstractNumId="2">
    <w:nsid w:val="27D9DD13"/>
    <w:multiLevelType w:val="multilevel"/>
    <w:tmpl w:val="27D9DD13"/>
    <w:lvl w:ilvl="0" w:tentative="0">
      <w:start w:val="1"/>
      <w:numFmt w:val="chineseCounting"/>
      <w:suff w:val="nothing"/>
      <w:lvlText w:val="第%1条 "/>
      <w:lvlJc w:val="left"/>
      <w:pPr>
        <w:ind w:left="1193" w:firstLine="420"/>
      </w:pPr>
      <w:rPr>
        <w:rFonts w:hint="eastAsia" w:ascii="仿宋_GB2312" w:hAnsi="仿宋_GB2312" w:eastAsia="仿宋_GB2312" w:cs="仿宋_GB2312"/>
        <w:b/>
        <w:bCs/>
        <w:sz w:val="32"/>
        <w:szCs w:val="32"/>
        <w:lang w:val="en-US"/>
      </w:rPr>
    </w:lvl>
    <w:lvl w:ilvl="1" w:tentative="0">
      <w:start w:val="1"/>
      <w:numFmt w:val="decimal"/>
      <w:lvlText w:val="%2."/>
      <w:lvlJc w:val="left"/>
      <w:pPr>
        <w:tabs>
          <w:tab w:val="left" w:pos="1440"/>
        </w:tabs>
        <w:ind w:left="2060" w:hanging="360"/>
      </w:pPr>
    </w:lvl>
    <w:lvl w:ilvl="2" w:tentative="0">
      <w:start w:val="1"/>
      <w:numFmt w:val="decimal"/>
      <w:lvlText w:val="%3."/>
      <w:lvlJc w:val="left"/>
      <w:pPr>
        <w:tabs>
          <w:tab w:val="left" w:pos="2160"/>
        </w:tabs>
        <w:ind w:left="2780" w:hanging="360"/>
      </w:pPr>
    </w:lvl>
    <w:lvl w:ilvl="3" w:tentative="0">
      <w:start w:val="1"/>
      <w:numFmt w:val="decimal"/>
      <w:lvlText w:val="%4."/>
      <w:lvlJc w:val="left"/>
      <w:pPr>
        <w:tabs>
          <w:tab w:val="left" w:pos="2880"/>
        </w:tabs>
        <w:ind w:left="3500" w:hanging="360"/>
      </w:pPr>
    </w:lvl>
    <w:lvl w:ilvl="4" w:tentative="0">
      <w:start w:val="1"/>
      <w:numFmt w:val="decimal"/>
      <w:lvlText w:val="%5."/>
      <w:lvlJc w:val="left"/>
      <w:pPr>
        <w:tabs>
          <w:tab w:val="left" w:pos="3600"/>
        </w:tabs>
        <w:ind w:left="4220" w:hanging="360"/>
      </w:pPr>
    </w:lvl>
    <w:lvl w:ilvl="5" w:tentative="0">
      <w:start w:val="1"/>
      <w:numFmt w:val="decimal"/>
      <w:lvlText w:val="%6."/>
      <w:lvlJc w:val="left"/>
      <w:pPr>
        <w:tabs>
          <w:tab w:val="left" w:pos="4320"/>
        </w:tabs>
        <w:ind w:left="4940" w:hanging="360"/>
      </w:pPr>
    </w:lvl>
    <w:lvl w:ilvl="6" w:tentative="0">
      <w:start w:val="1"/>
      <w:numFmt w:val="decimal"/>
      <w:lvlText w:val="%7."/>
      <w:lvlJc w:val="left"/>
      <w:pPr>
        <w:tabs>
          <w:tab w:val="left" w:pos="5040"/>
        </w:tabs>
        <w:ind w:left="5660" w:hanging="360"/>
      </w:pPr>
    </w:lvl>
    <w:lvl w:ilvl="7" w:tentative="0">
      <w:start w:val="1"/>
      <w:numFmt w:val="decimal"/>
      <w:lvlText w:val="%8."/>
      <w:lvlJc w:val="left"/>
      <w:pPr>
        <w:tabs>
          <w:tab w:val="left" w:pos="5760"/>
        </w:tabs>
        <w:ind w:left="6380" w:hanging="360"/>
      </w:pPr>
    </w:lvl>
    <w:lvl w:ilvl="8" w:tentative="0">
      <w:start w:val="1"/>
      <w:numFmt w:val="decimal"/>
      <w:lvlText w:val="%9."/>
      <w:lvlJc w:val="left"/>
      <w:pPr>
        <w:tabs>
          <w:tab w:val="left" w:pos="6480"/>
        </w:tabs>
        <w:ind w:left="710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74521F"/>
    <w:rsid w:val="08296773"/>
    <w:rsid w:val="48C86803"/>
    <w:rsid w:val="687452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First Indent 2"/>
    <w:basedOn w:val="3"/>
    <w:next w:val="4"/>
    <w:qFormat/>
    <w:uiPriority w:val="0"/>
    <w:pPr>
      <w:spacing w:after="40" w:line="360" w:lineRule="auto"/>
      <w:ind w:firstLine="420" w:firstLineChars="200"/>
    </w:pPr>
    <w:rPr>
      <w:rFonts w:ascii="Calibri" w:hAnsi="Calibri" w:eastAsia="宋体"/>
      <w:sz w:val="24"/>
    </w:rPr>
  </w:style>
  <w:style w:type="paragraph" w:styleId="3">
    <w:name w:val="Body Text Indent"/>
    <w:basedOn w:val="1"/>
    <w:qFormat/>
    <w:uiPriority w:val="0"/>
    <w:pPr>
      <w:snapToGrid w:val="0"/>
      <w:spacing w:line="300" w:lineRule="auto"/>
      <w:ind w:firstLine="720"/>
    </w:pPr>
    <w:rPr>
      <w:rFonts w:eastAsia="楷体_GB2312"/>
      <w:sz w:val="30"/>
      <w:szCs w:val="20"/>
    </w:rPr>
  </w:style>
  <w:style w:type="paragraph" w:styleId="4">
    <w:name w:val="Body Text"/>
    <w:basedOn w:val="1"/>
    <w:next w:val="1"/>
    <w:qFormat/>
    <w:uiPriority w:val="0"/>
    <w:rPr>
      <w:rFonts w:ascii="Times New Roman" w:hAnsi="Times New Roman" w:eastAsia="宋体" w:cs="Times New Roman"/>
      <w:lang w:bidi="ar-SA"/>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customStyle="1" w:styleId="8">
    <w:name w:val="p0"/>
    <w:basedOn w:val="1"/>
    <w:qFormat/>
    <w:uiPriority w:val="0"/>
    <w:pPr>
      <w:widowControl/>
    </w:pPr>
    <w:rPr>
      <w:rFonts w:ascii="Calibri" w:hAnsi="Calibri" w:eastAsia="宋体" w:cs="Times New Roman"/>
      <w:kern w:val="0"/>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2026-09-30T10:09:00Z</dcterms:created>
  <dc:creator>英雄的黎明</dc:creator>
  <cp:lastModifiedBy>英雄的黎明</cp:lastModifiedBy>
  <dcterms:modified xsi:type="dcterms:W3CDTF">2026-09-30T10:13:12Z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58240ED886034F5692C33AB759790E44_11</vt:lpwstr>
  </property>
  <property fmtid="{D5CDD505-2E9C-101B-9397-08002B2CF9AE}" pid="4" name="KSOTemplateDocerSaveRecord">
    <vt:lpwstr>eyJoZGlkIjoiNjUwMjRhZTU5OGRkNzhkMDM1ZjFhMzU1OGYzNDA5NTIiLCJ1c2VySWQiOiIzODc1NzcxNzEifQ==</vt:lpwstr>
  </property>
</Properties>
</file>